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77"/>
        <w:ind w:left="0" w:firstLine="709"/>
        <w:jc w:val="center"/>
        <w:spacing w:after="0" w:line="240" w:lineRule="auto"/>
        <w:rPr>
          <w:rFonts w:ascii="PT Astra Serif" w:hAnsi="PT Astra Serif" w:eastAsia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Извещение о проведении открытого аукциона в электронной форме на право заключения договора аренды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в отношении муниципального имущества</w:t>
      </w: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eastAsia="PT Astra Serif" w:cs="PT Astra Serif"/>
          <w:b/>
          <w:sz w:val="28"/>
          <w:szCs w:val="28"/>
        </w:rPr>
      </w:r>
    </w:p>
    <w:p>
      <w:pPr>
        <w:pStyle w:val="977"/>
        <w:ind w:left="0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975"/>
        <w:ind w:firstLine="709"/>
        <w:widowControl w:val="off"/>
        <w:tabs>
          <w:tab w:val="clear" w:pos="0" w:leader="none"/>
          <w:tab w:val="clear" w:pos="567" w:leader="none"/>
        </w:tabs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ar-SA"/>
        </w:rPr>
        <w:t xml:space="preserve">1.</w:t>
      </w:r>
      <w:r>
        <w:rPr>
          <w:rFonts w:ascii="PT Astra Serif" w:hAnsi="PT Astra Serif" w:eastAsia="PT Astra Serif" w:cs="PT Astra Serif"/>
          <w:b/>
          <w:szCs w:val="28"/>
          <w:lang w:eastAsia="ar-SA"/>
        </w:rPr>
        <w:t xml:space="preserve"> Организатор аукциона:</w:t>
      </w:r>
      <w:r>
        <w:rPr>
          <w:rFonts w:ascii="PT Astra Serif" w:hAnsi="PT Astra Serif" w:eastAsia="PT Astra Serif" w:cs="PT Astra Serif"/>
          <w:szCs w:val="28"/>
          <w:lang w:eastAsia="ar-SA"/>
        </w:rPr>
        <w:t xml:space="preserve"> Комитет по управлению муниципальной собственностью города Барнаула.</w:t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pStyle w:val="975"/>
        <w:ind w:firstLine="709"/>
        <w:widowControl w:val="off"/>
        <w:tabs>
          <w:tab w:val="clear" w:pos="0" w:leader="none"/>
          <w:tab w:val="clear" w:pos="567" w:leader="none"/>
        </w:tabs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ar-SA"/>
        </w:rPr>
        <w:t xml:space="preserve">Место нахождения/Почтовый адрес: </w:t>
      </w:r>
      <w:r>
        <w:rPr>
          <w:rFonts w:ascii="PT Astra Serif" w:hAnsi="PT Astra Serif" w:eastAsia="PT Astra Serif" w:cs="PT Astra Serif"/>
          <w:szCs w:val="28"/>
        </w:rPr>
        <w:t xml:space="preserve">656043, Алтайский край, г.Барнаул, ул.Гоголя, 48</w:t>
      </w:r>
      <w:r>
        <w:rPr>
          <w:rFonts w:ascii="PT Astra Serif" w:hAnsi="PT Astra Serif" w:eastAsia="PT Astra Serif" w:cs="PT Astra Serif"/>
          <w:szCs w:val="28"/>
          <w:lang w:eastAsia="ar-SA"/>
        </w:rPr>
        <w:t xml:space="preserve">.</w:t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pStyle w:val="975"/>
        <w:ind w:firstLine="709"/>
        <w:widowControl w:val="off"/>
        <w:tabs>
          <w:tab w:val="clear" w:pos="0" w:leader="none"/>
          <w:tab w:val="clear" w:pos="567" w:leader="none"/>
        </w:tabs>
        <w:rPr>
          <w:rFonts w:ascii="PT Astra Serif" w:hAnsi="PT Astra Serif" w:cs="PT Astra Serif"/>
          <w:b/>
          <w:bCs/>
          <w:szCs w:val="28"/>
        </w:rPr>
      </w:pPr>
      <w:r>
        <w:rPr>
          <w:rFonts w:ascii="PT Astra Serif" w:hAnsi="PT Astra Serif" w:eastAsia="PT Astra Serif" w:cs="PT Astra Serif"/>
          <w:szCs w:val="28"/>
        </w:rPr>
        <w:t xml:space="preserve">Контактный телефон: +7(385-2)370-476. Адрес электронной почты: sergei_kantarzhyan@mail.</w:t>
      </w:r>
      <w:r>
        <w:rPr>
          <w:rFonts w:ascii="PT Astra Serif" w:hAnsi="PT Astra Serif" w:eastAsia="PT Astra Serif" w:cs="PT Astra Serif"/>
          <w:szCs w:val="28"/>
          <w:lang w:val="en-US"/>
        </w:rPr>
        <w:t xml:space="preserve">ru</w:t>
      </w:r>
      <w:r>
        <w:rPr>
          <w:rFonts w:ascii="PT Astra Serif" w:hAnsi="PT Astra Serif" w:eastAsia="PT Astra Serif" w:cs="PT Astra Serif"/>
          <w:szCs w:val="28"/>
        </w:rPr>
        <w:t xml:space="preserve">.</w:t>
      </w:r>
      <w:r>
        <w:rPr>
          <w:rFonts w:ascii="PT Astra Serif" w:hAnsi="PT Astra Serif" w:cs="PT Astra Serif"/>
          <w:b/>
          <w:bCs/>
          <w:szCs w:val="28"/>
        </w:rPr>
      </w:r>
      <w:r>
        <w:rPr>
          <w:rFonts w:ascii="PT Astra Serif" w:hAnsi="PT Astra Serif" w:cs="PT Astra Serif"/>
          <w:b/>
          <w:bCs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Основание проведения аукциона: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распоряжение комитета</w:t>
      </w:r>
      <w:r>
        <w:rPr>
          <w:rFonts w:ascii="PT Astra Serif" w:hAnsi="PT Astra Serif" w:eastAsia="PT Astra Serif" w:cs="PT Astra Serif"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07.09.2026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№200/156/РР-</w:t>
      </w:r>
      <w:r>
        <w:rPr>
          <w:rFonts w:ascii="PT Astra Serif" w:hAnsi="PT Astra Serif" w:eastAsia="PT Astra Serif" w:cs="PT Astra Serif"/>
          <w:sz w:val="28"/>
          <w:szCs w:val="28"/>
          <w:highlight w:val="yellow"/>
        </w:rPr>
        <w:t xml:space="preserve">273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«О проведении открытого аукциона</w:t>
      </w:r>
      <w:r>
        <w:rPr>
          <w:rFonts w:ascii="PT Astra Serif" w:hAnsi="PT Astra Serif" w:eastAsia="PT Astra Serif" w:cs="PT Astra Serif"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электронной форме на право заключения договора аренды в отношении муниципального имущества».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3.</w:t>
      </w:r>
      <w:r>
        <w:rPr>
          <w:rFonts w:ascii="PT Astra Serif" w:hAnsi="PT Astra Serif" w:eastAsia="PT Astra Serif" w:cs="PT Astra Serif"/>
          <w:b/>
          <w:bCs/>
          <w:spacing w:val="-4"/>
          <w:sz w:val="28"/>
          <w:szCs w:val="28"/>
        </w:rPr>
        <w:t xml:space="preserve"> Форма аукциона</w:t>
      </w:r>
      <w:r>
        <w:rPr>
          <w:rFonts w:ascii="PT Astra Serif" w:hAnsi="PT Astra Serif" w:eastAsia="PT Astra Serif" w:cs="PT Astra Serif"/>
          <w:b/>
          <w:spacing w:val="-4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  <w:t xml:space="preserve"> открытый 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аукцион в электронной форме.</w:t>
      </w:r>
      <w:bookmarkStart w:id="1" w:name="_Hlk112754361"/>
      <w:r>
        <w:rPr>
          <w:rFonts w:ascii="PT Astra Serif" w:hAnsi="PT Astra Serif" w:cs="PT Astra Serif"/>
          <w:bCs/>
          <w:spacing w:val="-4"/>
          <w:sz w:val="28"/>
          <w:szCs w:val="28"/>
        </w:rPr>
      </w:r>
      <w:r>
        <w:rPr>
          <w:rFonts w:ascii="PT Astra Serif" w:hAnsi="PT Astra Serif" w:cs="PT Astra Serif"/>
          <w:bCs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Аукцион в электронной форме проводится на электронной площадке ООО «РТС-Тендер», на сайте </w:t>
      </w:r>
      <w:hyperlink r:id="rId10" w:tooltip="https://www.rts-tender.ru" w:history="1"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https://www.rts-tender.ru</w:t>
        </w:r>
      </w:hyperlink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4.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Дата начала подачи заявок: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 «09» сентября 2026 года в 04:00</w:t>
      </w:r>
      <w:r>
        <w:rPr>
          <w:rFonts w:ascii="PT Astra Serif" w:hAnsi="PT Astra Serif" w:eastAsia="PT Astra Serif" w:cs="PT Astra Serif"/>
          <w:bCs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по московскому времени (в 08:00 по местному времени). М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естом подачи заявок на участие в аукционе является электронная площадка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ООО «РТС-Тендер», на сайте </w:t>
      </w:r>
      <w:hyperlink r:id="rId11" w:tooltip="https://www.rts-tender.ru" w:history="1"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https://www.rts-tender.ru</w:t>
        </w:r>
      </w:hyperlink>
      <w:r>
        <w:rPr>
          <w:rFonts w:ascii="PT Astra Serif" w:hAnsi="PT Astra Serif" w:eastAsia="PT Astra Serif" w:cs="PT Astra Serif"/>
          <w:sz w:val="28"/>
          <w:szCs w:val="28"/>
        </w:rPr>
        <w:t xml:space="preserve"> в 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ети «Интернет» (в разделе Имущество, Покупателям/Арендаторам)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в соответствии с установленным торговой площадкой регламентом.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Дата и время окончания подачи заявок: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 «28» </w:t>
      </w:r>
      <w:bookmarkEnd w:id="1"/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сентября 2026 года</w:t>
      </w:r>
      <w:r>
        <w:rPr>
          <w:rFonts w:ascii="PT Astra Serif" w:hAnsi="PT Astra Serif" w:eastAsia="PT Astra Serif" w:cs="PT Astra Serif"/>
          <w:bCs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в 13:00 по московскому времени (в 17:00 по местному времени).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5.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Дата и в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ремя начала рассмотрения заявок в электронной форме: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«29» сентября 2026 года с 06:00 по московскому времени (в 10:00 по местному времени).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Рассмотрение заявок на участие в аукционе проводится по месту нахождения Организатора аукциона: Алтайский край, г.Барнаул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, ул.Гоголя, 48, 5 этаж, каб. 520.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6.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Дата и время аукциона в электронной форме: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 «30» сентября 2026 года 05:00 по московскому времени (в 09:00 по местному времени).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Место проведения аукциона в электронной форме – на электронной площадке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ООО «РТС-Тендер», на са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йте </w:t>
      </w:r>
      <w:hyperlink r:id="rId12" w:tooltip="https://www.rts-tender.ru" w:history="1"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https://www.rts-tender.ru</w:t>
        </w:r>
      </w:hyperlink>
      <w:r>
        <w:rPr>
          <w:rFonts w:ascii="PT Astra Serif" w:hAnsi="PT Astra Serif" w:eastAsia="PT Astra Serif" w:cs="PT Astra Serif"/>
          <w:sz w:val="28"/>
          <w:szCs w:val="28"/>
        </w:rPr>
        <w:t xml:space="preserve"> в сети «Интернет».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7.</w:t>
      </w:r>
      <w:r>
        <w:rPr>
          <w:rFonts w:ascii="PT Astra Serif" w:hAnsi="PT Astra Serif" w:eastAsia="PT Astra Serif" w:cs="PT Astra Serif"/>
          <w:sz w:val="28"/>
          <w:szCs w:val="28"/>
          <w:shd w:val="clear" w:color="auto" w:fill="ffffff"/>
        </w:rPr>
        <w:t xml:space="preserve">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Документация об аукционе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размещена на официальном сайте </w:t>
      </w:r>
      <w:hyperlink r:id="rId13" w:tooltip="http://www.torgi.gov.ru" w:history="1"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www.</w:t>
        </w:r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to</w:t>
        </w:r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rgi</w:t>
        </w:r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.</w:t>
        </w:r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gov</w:t>
        </w:r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.</w:t>
        </w:r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ru</w:t>
        </w:r>
      </w:hyperlink>
      <w:r>
        <w:rPr>
          <w:rFonts w:ascii="PT Astra Serif" w:hAnsi="PT Astra Serif" w:eastAsia="PT Astra Serif" w:cs="PT Astra Serif"/>
          <w:sz w:val="28"/>
          <w:szCs w:val="28"/>
        </w:rPr>
        <w:t xml:space="preserve"> для размещения информации о проведении торгов и на электронной площадке ООО «РТС-тендер», на сайте https://www.rts-tender.ru.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 основании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запроса о предоставлении разъяснений положений документации об аукционе, поданного в электронной форме, комитет в течение двух рабочих дней с даты получения соответствующего запроса размещает на официальном сайте разъяснение с указанием предмета запроса,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если указанный запрос поступил не позднее чем за три рабочих дня до даты окончания срока подачи заявок на участие в аукционе.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Дата начала направления запроса о предоставлении разъяснений положений документации об аукционе: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«09» сентября 2026 года.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Дата окончан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ия направления запроса о предоставлении разъяснений положений документации об аукционе: «23» сентября 2026 года.</w:t>
      </w:r>
      <w:r>
        <w:rPr>
          <w:rFonts w:ascii="PT Astra Serif" w:hAnsi="PT Astra Serif" w:cs="PT Astra Serif"/>
          <w:sz w:val="28"/>
          <w:szCs w:val="28"/>
          <w:highlight w:val="yellow"/>
        </w:rPr>
      </w:r>
      <w:r>
        <w:rPr>
          <w:rFonts w:ascii="PT Astra Serif" w:hAnsi="PT Astra Serif" w:cs="PT Astra Serif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8. </w:t>
      </w:r>
      <w:r>
        <w:rPr>
          <w:rFonts w:ascii="PT Astra Serif" w:hAnsi="PT Astra Serif" w:eastAsia="PT Astra Serif" w:cs="PT Astra Serif"/>
          <w:b/>
          <w:sz w:val="28"/>
          <w:szCs w:val="28"/>
          <w:lang w:eastAsia="en-US"/>
        </w:rPr>
        <w:t xml:space="preserve">Требование о внесении задатка: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Задаток на участие в аукционе по каждому лоту установлен в размере 10% от начальной цены лота.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Порядок внесения з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адатка и банковские реквизиты для оплаты задатка определяются Регламентом электронной площадки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ООО «РТС-Тендер», на сайте </w:t>
      </w:r>
      <w:hyperlink r:id="rId14" w:tooltip="https://www.rts-tender.ru" w:history="1">
        <w:r>
          <w:rPr>
            <w:rFonts w:ascii="PT Astra Serif" w:hAnsi="PT Astra Serif" w:eastAsia="PT Astra Serif" w:cs="PT Astra Serif"/>
            <w:sz w:val="28"/>
            <w:szCs w:val="28"/>
            <w:u w:val="single"/>
          </w:rPr>
          <w:t xml:space="preserve">https://www.rts-tender.ru</w:t>
        </w:r>
      </w:hyperlink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Задаток, перечисленный победителем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 аукциона, единственным участником, а также единственным заявителем зачитывается в счет арендной платы по договору, заключенному по итогам рассмотрения заявок на участие в аукционе или по итогам проведения аукциона.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9. Комитет вправе по 23.09.2026 отказать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ся от проведения аукциона</w:t>
      </w:r>
      <w:r>
        <w:rPr>
          <w:rFonts w:ascii="PT Astra Serif" w:hAnsi="PT Astra Serif" w:eastAsia="PT Astra Serif" w:cs="PT Astra Serif"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и внести изменения в аукционную документацию.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10. Внесение арендной платы производится ежемесячно</w:t>
      </w:r>
      <w:r>
        <w:rPr>
          <w:rFonts w:ascii="PT Astra Serif" w:hAnsi="PT Astra Serif" w:eastAsia="PT Astra Serif" w:cs="PT Astra Serif"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 10 (десятое) число текущего месяца, путем перечисления денежных средств на расчетный счет, указанный в договоре аренды.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11. Срок подписания проекта договора аренды устанавливается: </w:t>
      </w:r>
      <w:r>
        <w:rPr>
          <w:rFonts w:ascii="PT Astra Serif" w:hAnsi="PT Astra Serif" w:eastAsia="PT Astra Serif" w:cs="PT Astra Serif"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не ранее чем через 10 дней и не позднее 15 дней со дня размещения итогов аукциона на официальном сайте </w:t>
      </w:r>
      <w:hyperlink r:id="rId15" w:tooltip="http://www.torgi.gov.ru" w:history="1"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www.</w:t>
        </w:r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torgi</w:t>
        </w:r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.</w:t>
        </w:r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gov</w:t>
        </w:r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.</w:t>
        </w:r>
        <w:r>
          <w:rPr>
            <w:rStyle w:val="957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ru</w:t>
        </w:r>
      </w:hyperlink>
      <w:r>
        <w:rPr>
          <w:rFonts w:ascii="PT Astra Serif" w:hAnsi="PT Astra Serif" w:eastAsia="PT Astra Serif" w:cs="PT Astra Serif"/>
          <w:sz w:val="28"/>
          <w:szCs w:val="28"/>
        </w:rPr>
        <w:t xml:space="preserve"> и на э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лектронной площадке ООО «РТС-тендер», на сайте https://www.rts-tender.ru.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shd w:val="clear" w:color="auto" w:fill="ffffff"/>
        </w:rPr>
        <w:t xml:space="preserve">12.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 вопросам, связанным с арендой муниципального имущества, обращаться к представителю Организатора аукциона ежедневно</w:t>
      </w:r>
      <w:r>
        <w:rPr>
          <w:rFonts w:ascii="PT Astra Serif" w:hAnsi="PT Astra Serif" w:eastAsia="PT Astra Serif" w:cs="PT Astra Serif"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 рабочим дням с 04:00 до 12:00 часов по московскому времен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 (с 08:00 до 16:00 по местному времени) по адресу: 656043, г.Барнаул, ул.Гоголя, 48, кабинет 542.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92"/>
        <w:ind w:firstLine="709"/>
        <w:jc w:val="both"/>
        <w:spacing w:after="0" w:line="240" w:lineRule="auto"/>
        <w:tabs>
          <w:tab w:val="clear" w:pos="708" w:leader="none"/>
        </w:tabs>
        <w:rPr>
          <w:rFonts w:ascii="PT Astra Serif" w:hAnsi="PT Astra Serif" w:cs="PT Astra Serif"/>
          <w:color w:val="auto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Контактное лицо: Кантаржян Сергей Арменович, +7(385 2)370-476;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br/>
        <w:t xml:space="preserve">e-mail: </w:t>
      </w:r>
      <w:hyperlink r:id="rId16" w:tooltip="mailto:filatova@kums.barnaul-adm.ru" w:history="1">
        <w:r>
          <w:rPr>
            <w:rStyle w:val="957"/>
            <w:rFonts w:ascii="PT Astra Serif" w:hAnsi="PT Astra Serif" w:eastAsia="PT Astra Serif" w:cs="PT Astra Serif"/>
            <w:color w:val="auto"/>
            <w:sz w:val="28"/>
            <w:szCs w:val="28"/>
            <w:u w:val="none"/>
          </w:rPr>
          <w:t xml:space="preserve">sergei_kantarzhyan@mail.</w:t>
        </w:r>
        <w:r>
          <w:rPr>
            <w:rStyle w:val="957"/>
            <w:rFonts w:ascii="PT Astra Serif" w:hAnsi="PT Astra Serif" w:eastAsia="PT Astra Serif" w:cs="PT Astra Serif"/>
            <w:color w:val="auto"/>
            <w:sz w:val="28"/>
            <w:szCs w:val="28"/>
            <w:u w:val="none"/>
            <w:lang w:val="en-US"/>
          </w:rPr>
          <w:t xml:space="preserve">ru</w:t>
        </w:r>
      </w:hyperlink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.</w:t>
      </w:r>
      <w:r>
        <w:rPr>
          <w:rFonts w:ascii="PT Astra Serif" w:hAnsi="PT Astra Serif" w:cs="PT Astra Serif"/>
          <w:color w:val="auto"/>
          <w:sz w:val="28"/>
          <w:szCs w:val="28"/>
        </w:rPr>
      </w:r>
      <w:r>
        <w:rPr>
          <w:rFonts w:ascii="PT Astra Serif" w:hAnsi="PT Astra Serif" w:cs="PT Astra Serif"/>
          <w:color w:val="auto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014"/>
        <w:gridCol w:w="3969"/>
        <w:gridCol w:w="1131"/>
        <w:gridCol w:w="1988"/>
      </w:tblGrid>
      <w:tr>
        <w:tblPrEx/>
        <w:trPr>
          <w:trHeight w:val="4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Газификация Стахановского поселка г.Барнаула (участок от ГРП-3 до ул.2-й Северо-Западной),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1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362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22:63:040205:504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Газоснабжение жилых домов в границах улиц Северо-Западная, Новороссийская, Юрина, Восточная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1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2373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22:63:040210:661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объекта: 2 газовые сети муниципальной собственности протяженностью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2 735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2 объекта газоснабжения: 38908, 92 руб.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1945, 45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3890, 89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bCs/>
          <w:spacing w:val="-4"/>
          <w:sz w:val="28"/>
          <w:szCs w:val="28"/>
        </w:rPr>
      </w:r>
      <w:r>
        <w:rPr>
          <w:rFonts w:ascii="PT Astra Serif" w:hAnsi="PT Astra Serif" w:cs="PT Astra Serif"/>
          <w:bCs/>
          <w:spacing w:val="-4"/>
          <w:sz w:val="28"/>
          <w:szCs w:val="28"/>
        </w:rPr>
      </w:r>
    </w:p>
    <w:tbl>
      <w:tblPr>
        <w:tblW w:w="97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97"/>
        <w:gridCol w:w="3686"/>
        <w:gridCol w:w="1134"/>
        <w:gridCol w:w="1989"/>
      </w:tblGrid>
      <w:tr>
        <w:tblPrEx/>
        <w:trPr>
          <w:trHeight w:val="5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Газопровод до жилых домов в границах улиц Партизанская, Челюскинцев, Интернациональная,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пер.Революционный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в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1945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22:63:050330:529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13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Объект инженерной инфраструктуры. Распределительный газопровод для газоснабжения жилых домов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ул.Чернышевского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264-273а,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229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22:63:000000:2209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Газоснабжение жилых домов в границах улиц Партизанская, Чернышевского,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пер.Малый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Прудской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591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22:63:000000:8413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ул.Партизанской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№215-227 (нечетная сторона), 226-240 (четная сторона)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647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22:63:000000:8488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Газопровод до жилых домов в границах ул.Кирова, пер.Прудской, ул.Чкалова, Челюскинцев г.Барнаула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1087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22:63:000000:8374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Газоснабжение жилых домов в границах улиц Челюскинцев, Чкалова,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пер.Сейфулинский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пр.Канифольный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в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953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22:63:050317:522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Газопровод до жилых домов в границах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-да Магистральный,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ул.Челюскинцев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Чкалова,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пер.Сейфуллинский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1463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22:63:000000:8501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Газопровод до жилых домов в границах улиц Партизанская,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пер.Сейфуллинский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Капитальный, Революционный в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1645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22:63:000000:8417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Газификация жилых домов от ГРП-66,67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342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22:63:050410:2410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Газификация жилых домов от ГРП-66,67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631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22:63:050404:577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Газификация жилых домов от ГРП-66,67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1270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22:63:050410:2415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Газификация жилых домов от ГРП-66,67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444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22:63:050410:2416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12 газовых сетей муниципальной собственности протяженностью 11247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11 объектов газоснабжения: 116393, 08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5819, 65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11639, 31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№3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6"/>
        <w:gridCol w:w="3685"/>
        <w:gridCol w:w="1134"/>
        <w:gridCol w:w="1981"/>
      </w:tblGrid>
      <w:tr>
        <w:tblPrEx/>
        <w:trPr>
          <w:trHeight w:val="5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жилого дома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ул.Никитина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№155а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96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22:63:050341:317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газооборудование жилого дома №25-1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ул.Ядринцева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47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22:63:050345:444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Строительство газопровода до котельной ООО "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Барнаулэнерго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"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ул.Интернациональная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82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(в составе ГРПШ-03М- 2У1 №001458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546,5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22:63:000000:7054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3 газовые сети муниципальной собственности протяженностью 689, 5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3 объекта газоснабжения: 5883, 17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294, 16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588, 32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№4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3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до котельной ЧП А.Н. Давыдов по пр. Канатному, 46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308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22:63:050622:577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жилого дома по проезду Канатному 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№№ 41,51,84,86,88,90,92,94,98 (1,2),102,104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592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22:63:050622:576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пр-ду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Канатный,2,4,10,12,19,20,36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756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22:63:000000:6992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(Газоснабжение жилого дома)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ул.Мамонтова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300-330в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740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22:63:050623:513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в границах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ул.Тихонова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Мамонтова,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пер.Дрокина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пр.Удобный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2-й пусковой комплекс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737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22:63:050627:761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5 газовых сетей муниципальной собственности протяженностью 3133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5 объектов газоснабжения: 13465, 25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673, 26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1346, 52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№5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4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в границах улиц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Тачалова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Аванесова,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пер.Пожарный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Сычева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3379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22:63:000000:8423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9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Подключение к газораспределительной сети распределительного газопровода до жилых домов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ул.Фомина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пер.Пороховой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Взвоз,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ул.Низкий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Яр,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пер.Сычева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-д Рельефный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2104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22:63:000000:6627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Сеть газоснабжения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ул.Аванесова,44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159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22:63:050617:292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по адресу: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пер.Дрокина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30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307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22:63:000000:8452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№52-1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пер.Карева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152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22:63:050625:460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ул.Третьякова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пер.Карева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1007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22:63:000000:8315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ул.Третьякова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Штильке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пр. Фроловых, пер. Карева,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пер.Колодезный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905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22:63:000000:8294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в границах улиц Ломоносова, Фомина,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пер.Присягина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пер.Рельефный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350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22:63:050630:612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в границах улиц Ломоносова, Фомина,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пер.Присягина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пер.Рельефный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186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22:63:050633:433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в границах улиц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Тяптина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пер. Чайкиной, Корчагина, Ломоносова, Карева, Фомина г.Барнаула, Алтайского края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2655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22:63:000000:8313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10 газовых сетей муниципальной собственности протяженностью 11204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10 объектов газоснабжения: 62143, 75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3107, 19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6214, 38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№6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5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до котельной санатория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"Обь"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1275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22:63:000000:6630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Змеиногорскому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тракту №72-80, 94-98 (четная сторона), 100а, 100б, 100в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686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22:63:000000:6623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13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многоэтажных жилых домов и социальной инженерной и транспортной инфраструктуры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Змеиногорскому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тракту 104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а,б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,в,гд,е,л и жилого комплекса (шести двухэтажных жилых домов, объектов общественного назначения, наземных автостоянок) в нагорной части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1283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22:63:000000:3147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3 газовые сети муниципальной собственности протяженностью 3244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3 объекта газоснабжения: 15080, 58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754, 03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1508, 05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№7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5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ул.Ляпидевского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1/3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432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22:63:000000:1044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 высокого и низкого давления к жилым домам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ул.Солнечной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455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22:63:000000:6700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2 газовые сети муниципальной собственности протяженностью 887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2 объекта газоснабжения: 3841, 42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192, 07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384, 14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№8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3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Сеть газопровода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тракт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Змеиногорский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89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621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22:61:040201:315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низкого давления для ЖСК "ЛУЧ"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ул.Энергетической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ул.Лисавенко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1463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22:61:041704:160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низкого давления к домам ЖСК "Луч"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ул.Красных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роз, 1,3,5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ул.Пшеничная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2,6,8,9 ул.Энергетическая,2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443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22:61:000000:1673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3 газовые сети муниципальной собственности протяженностью 2527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3 объекта газоснабжения: 10070, 25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503, 51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1007, 02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№9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№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п/п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Адрес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п.м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3571/10000 доли газовой сети (125,3 м - вся сеть)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351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22:63:050811:866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газоснабжение жилого дома 1-й Вешний тупик,16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200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22:63:000000:6607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Сеть газоснабжения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Змеиногорский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 тракт, 35а/1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175 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22:63:050753:774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Сеть газоснабжения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Змеиногорский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 тракт, 35а/2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108 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22:63:050753:873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4 газовые сети муниципальной собственности протяженностью 834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за 3 объекта газоснабжения: 13616, 58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680, 83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1361, 66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и обслуживание профессиональным аварийно-спасательным формированием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№10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5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от ГРП №11,12,14,15,16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с.Бельмесево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Центрального района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8933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22:61:000000:1459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п.Бельмесево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4226,4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22:61:000000:1655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2 газовые сети муниципальной собственности протяженностью 13159, 4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2 объекта газоснабжения: 39384, 25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1969, 21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3938, 42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№11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6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до жилых домов в границах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ул.Советской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Армии,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-да Кооперативного, ул.42-й Краснознаменной бригады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8087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22:63:000000:3141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жомов в границах ул. Антона Петрова, пер. Гранитного, ул. Советской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Арми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пер. Волейбольного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1487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22:63:000000:6545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в границах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ул.А.Петрова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Советской Армии, Новороссийская, Телефонная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2422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22:63:000000:6988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ул.Антона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Петрова, 105,107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171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22:63:040331:447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пр-ду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Контурному от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ул.Советской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Армии до русла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р.Пивоварка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712,0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22:63:000000:2415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5 газовых сетей муниципальной собственности протяженностью 12879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5 объектов газоснабжения: 44598, 41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2229, 92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4459, 84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№12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397"/>
        <w:gridCol w:w="1134"/>
        <w:gridCol w:w="2268"/>
      </w:tblGrid>
      <w:tr>
        <w:tblPrEx/>
        <w:trPr>
          <w:trHeight w:val="5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 высокого и низкого давления учхоза "Пригородное"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с.Власиха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4968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22:61:000000:1719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7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 высокого и низкого давления учхоза «Пригородное»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с.Власиха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г.Барнаула (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ул.Целинная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пер.3-й Пограничный)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262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22:61:021125:383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ФГУП УПХ "Пригородное" АГАУ Барнауле (от ГРП-3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ул.Березовая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)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1356,6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22:61:000000:1682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п.Пригородный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ул.Кирова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33а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22:61:021115:71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п.Пригородный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проезд Пограничный 3-й, 4б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22:61:021125:144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ул.Свердлова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29д,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п.Пригородный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260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22:61:000000:1631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6 газовых сетей муниципальной собственности протяженностью 6933, 6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6 объектов газоснабжения: 32893, 50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1644, 68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3289, 35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№13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bCs/>
          <w:spacing w:val="-4"/>
          <w:sz w:val="28"/>
          <w:szCs w:val="28"/>
        </w:rPr>
      </w:r>
      <w:r>
        <w:rPr>
          <w:rFonts w:ascii="PT Astra Serif" w:hAnsi="PT Astra Serif" w:cs="PT Astra Serif"/>
          <w:bCs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6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6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в районе ул. Гоголя, Ползунова,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пер.Радищева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Малый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Прудской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участок от ГРП-2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4172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22:63:000000:8499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6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высокого и низкого давления в границах ул.Анатолия, ул.Гоголя, пер.Прудской, пер.Малый Прудской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2321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22:63:000000:8367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в районе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ул.Гоголя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Ползунова,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пер.Радищева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Малый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Прудской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участок от ГРП-2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4034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22:63:000000:8460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3 газовые сети муниципальной собственности протяженностью 10527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3 объекта газоснабжения: 61532, 75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3076, 64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6153, 28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№14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2"/>
        <w:gridCol w:w="1137"/>
        <w:gridCol w:w="1984"/>
      </w:tblGrid>
      <w:tr>
        <w:tblPrEx/>
        <w:trPr>
          <w:trHeight w:val="4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8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Реконструкция котельной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ул.Пушкина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58 в связи с переводом на природный газ четырех котлов №1, 2, 3, 4 "ЗИОСАБ-1600" и газопровода к котельной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108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22:63:050240:287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подземный газопровод низкого давления до стены дома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ул.Короленко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70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341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22:63:000000:8274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10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Сеть газоснабжения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Туристско-рекреационный кластер "Барнаул-горнозаводской город" Алтайский край. Комплекс "Нагорный парк". Сети электроснабжения, водоснабжения, газоснабжения. I этап согласно ПОС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178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22:63:050710:90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Сеть газопровода лит.4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ул.Гоголя,66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285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22:63:050243:316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Сеть газоснабжения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ул.Гоголя,46а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693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22:63:000000:6533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6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ул.Гоголя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65а,67,69а,71 и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ул.Пушкина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68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Алтайского края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256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22:63:050248:513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газооборудование жилого дома №98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ул.Никитина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175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22:63:000000:6550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низкого давления ул.Никитина,95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151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22:63:050238:776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3-х этажного жилого дома ТСЖ "Дом под кленом"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ул.Никитина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108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245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22:63:000000:8369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в границах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пр-кт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Комсомольский,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ул.Чернышевского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Промышленная, Пролетарская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3278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22:63:000000:8506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10 газовых сетей муниципальной собственности протяженностью 5710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10 объектов газоснабжения: 31747, 67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1587, 38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3174, 77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№15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bCs/>
          <w:spacing w:val="-4"/>
          <w:sz w:val="28"/>
          <w:szCs w:val="28"/>
        </w:rPr>
      </w:r>
      <w:r>
        <w:rPr>
          <w:rFonts w:ascii="PT Astra Serif" w:hAnsi="PT Astra Serif" w:cs="PT Astra Serif"/>
          <w:bCs/>
          <w:spacing w:val="-4"/>
          <w:sz w:val="28"/>
          <w:szCs w:val="28"/>
        </w:rPr>
      </w:r>
    </w:p>
    <w:tbl>
      <w:tblPr>
        <w:tblW w:w="96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6"/>
        <w:gridCol w:w="3685"/>
        <w:gridCol w:w="1134"/>
        <w:gridCol w:w="1980"/>
      </w:tblGrid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п.Солнечная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поляна,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ул.Жемчужная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№21-37,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ул.Аметистовая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№36-52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188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22:63:010315:611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среднего давления к жилым домам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п.Солнечная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поляна (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хозпроезд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ул.Рубиновая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№27-53, ул.2-я Геодезическая №22-50)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502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22:63:000000:6613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п.Солнечная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поляна (соединение с существующим газопроводом ГРПШ-10), среднего давления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ул.Жемчужная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до ж.д.№1-19,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ул.Аметистовая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№16-34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242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22:63:010315:612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п.Солнечная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поляна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ул.Тихая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- Отрадная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505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22:63:000000:8394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п.Солнечная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поляна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ул. 2-я Геодезическая, 23-31,37,45 Геодезическая, 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403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22:63:010328:597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многоквартирного дома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ул.Антона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Петрова, 364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22:63:010306:329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6 газовых сетей муниципальной собственности протяженностью 1883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6 объектов газоснабжения: 6190, 58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309, 53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619, 05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№16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1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ул.Цветы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Алтая,1-19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919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22:61:000000:868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ДНТ "Парус"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п.Плодопитомник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620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22:61:040707:482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ул.Республиканская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ул.Проселочная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п.Плодопитомник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543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22:61:040701:435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ул.Водозаборная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6/1 - 6/31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п.Плодопитомник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921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22:61:000000:1675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ул.Беговая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Березовая Роща, Павлюкова, Республиканская поселок Плодопитомник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2768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22:61:000000:1992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№3/171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ул.Водозаборная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п.Плодопитомник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22:61:000000:1991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6 газовых сетей муниципальной собственности протяженностью 5851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6 объектов газоснабжения: 87263, 00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4363, 15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8726, 30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№17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высокого давления по ул.Полевой в с.Лебяжье г.Барнаула Алтайского края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442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22:61:042110:1163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ул.Раздольная, Панова, Молодежная, Березовая роща с.Лебяжье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75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22:61:042035:531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№9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ул.Придорожная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22:61:042050:393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№9а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ул.Лесная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110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22:61:042001:447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ул.Школьной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1378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22:61:000000:1377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улицам: Школьная, Центральная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4974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22:61:000000:1381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ул.Панова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и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пер.Тепличному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1545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22:61:000000:1394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№52,54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ул.Березовая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роща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105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22:61:042044:302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 низкого давления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пер.Тепличный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364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22:61:042022:523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ул.Центральная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76,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173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22:61:042011:396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ул.Раздольная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Панова, Молодежная, Березовая роща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282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22:61:042035:530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ул.Центральной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Школьной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1167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22:61:000000:1989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 низкого давления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ул.Садовая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21,22,24,31,33,35,37,38а,39,41,43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824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22:61:000000:1995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ул.Казарма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242 км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1381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22:61:000000:1455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14 газовых сетей муниципальной собственности протяженностью 12384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14 объектов газоснабжения: 87064, 75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4353, 24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8706, 48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№18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6"/>
        <w:gridCol w:w="3682"/>
        <w:gridCol w:w="1134"/>
        <w:gridCol w:w="1988"/>
      </w:tblGrid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от ГРП-10,11,12 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п.Борзовая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Заимка Центрального района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5906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22:61:000000:1372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Жилой квартал усадебного типа ЭДСК "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Новоалтайский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"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п.Южный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1693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22:61:042112:488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Жилой квартал усадебного типа ЭДСК "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Новоалтайский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"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п.Южный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962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22:61:000000:1993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Система газоснабжения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п.Центральный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ул.Промышленная,3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259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22:61:000000:1463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4 газовые сети муниципальной собственности протяженностью 8820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4 объектов газоснабжения: 34721, 50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1736, 08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3472, 15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№19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6"/>
        <w:gridCol w:w="3685"/>
        <w:gridCol w:w="1134"/>
        <w:gridCol w:w="1981"/>
      </w:tblGrid>
      <w:tr>
        <w:tblPrEx/>
        <w:trPr>
          <w:trHeight w:val="2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 кварталах 13,14,15,16,17,18,19,20 микрорайона "Авиатор" г.Барнаула (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ул.Кленовая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от ГРП-4)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544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22:63:030201:736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 кварталах 13,14,15,16,17,18,19,20 микрорайона "Авиатор" г.Барнаула (от ГРП-4)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2242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22:63:000000:8401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 кварталах 13,14,15,16,17,18,19,20 микрорайона "Авиатор" г.Барнаула (от ГРП-4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ул.Дружбы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Ароматная)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1479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22:63:000000:8415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 кварталах 13,14,15,16,17,18,19,20 микрорайона "Авиатор" г.Барнаула" (от ГРП-4 до жилого дома №3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ул.Московская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397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22:63:030201:734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7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до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ул.Кленовой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(четная сторона) микрорайона "Авиатор"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"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896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22:63:030201:735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в квартале улиц Российская, Московская, Августовская, Светлая, Юбилейная, Дружбы микрорайона "Авиатор"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1495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22:63:000000:8366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6 газовых сетей муниципальной собственности протяженностью 7053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6 объектов газоснабжения: 35795, 41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1789, 77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3579, 54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№20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2"/>
        <w:gridCol w:w="3969"/>
        <w:gridCol w:w="1134"/>
        <w:gridCol w:w="19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жилого дома по адресу: ул.Горская,1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73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22:63:000000:6538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в границах улиц Эмилии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Алексеевой, Малахова,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Чудненко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Петра Сухова, Смирнова от ГРП-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 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(ГРП 6)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1666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22:63:000000:6587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в границах улиц Эмилии Алексеевой, Малахова,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Чудненко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Петра Сухова, Смирнова от ГРП-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 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(ГРП 6/4)  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877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22:63:020334:1437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в границах улиц Эмилии Алексеевой, Малахова,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Чудненко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Петра Сухова, Смирнова от ГРП-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 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(ГРП 6/5)  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962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22:63:020334:1438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в границах улиц Эмилии Алексеевой, Малахова,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Чудненко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Петра Сухова, Смирнова от ГРП-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 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(ГРП 6/1)  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1190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22:63:000000:6610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в границах улиц Эмилии Алексеевой, Малахова,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Чудненко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Петра Сухова, Смирнова от ГРП-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 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(ГРП 6/2)  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2419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22:63:000000:6633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в границах улиц Эмилии Алексеевой, Малахова,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Чудненко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Петра Сухова, Смирнова от ГРП-6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(ГРП 6)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428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22:63:020335:2058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в границах улиц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Чеглецова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Западная 4-я, Горно-Алтайская, Западная 5-я г.Барнаула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950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22:63:000000:6655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8 газовых сетей муниципальной собственности протяженностью 8565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8 объектов газоснабжения: 41424, 00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2071, 20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4142, 40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№21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6"/>
        <w:gridCol w:w="3685"/>
        <w:gridCol w:w="1134"/>
        <w:gridCol w:w="1982"/>
      </w:tblGrid>
      <w:tr>
        <w:tblPrEx/>
        <w:trPr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газооборудование жилого дома №9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ул.Виноградной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104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22:61:011273:406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газификация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ул.Садовое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кольцо, 75, ул.Красивой,69, 80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432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22:61:000000:1376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газификация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ул.Яблочной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ул.Каштановой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ул.Садовое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кольцо,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ул.Ромашковой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1144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22:61:000000:1378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по ул.Арбатской,47б,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769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22:61:000000:1398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ул.Садовой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ул.Новосадовой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978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22:61:000000:1401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Заимка, газоснабжение жилого дома по ул.Жемчужной,33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565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22:61:011246:49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Сети природного газа низкого давления до жилых домов №18,19,21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пос.Казенная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Заимка, ул.Красивая,19гс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172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22:61:011234:65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ул.Алмазная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14, 18,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ул.Садовое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кольцо, 80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349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22:61:000000:1627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ул.Красивая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1-16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276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22:61:000000:1678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газификация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ул.Ромашковой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№1,2,3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137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22:61:011231:378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ул.Тальниковская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10,12,13,14,15,16,18,20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в с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оставе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ГРПШ-10 №30296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269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22:61:000000:1884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по ул.Садовой №13а, 28б, 13, 38, 21, 36а, 19а, 15а, п.Казенная Заимка, г.Барнаул Алтайского края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588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22:63:000000:8168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12 газовых сетей муниципальной собственности протяженностью 5783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12 объектов газоснабжения: 51682, 75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2584, 14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5168, 28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№22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6"/>
        <w:gridCol w:w="3685"/>
        <w:gridCol w:w="1134"/>
        <w:gridCol w:w="1981"/>
      </w:tblGrid>
      <w:tr>
        <w:tblPrEx/>
        <w:trPr>
          <w:trHeight w:val="5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газификация жилых домов №4,6,8,10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ул.Советской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п.Гоньба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22:61:011048:369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поселка Гоньба,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ул.Чапаева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ул.Березовая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ул.Российская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ул.Наливайко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2328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22:61:000000:1994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2 газовые сети муниципальной собственности протяженностью 2555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за 2 объекта газоснабжения: 59969, 83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2998, 49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5996, 98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№23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4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ул.Весенней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п.Научный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городок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317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22:61:000000:1400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п.Научный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городок,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ул.Институтская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4,6,3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162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22:61:010814:72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ул.Пограничной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п.Научный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городок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673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22:61:010814:73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 низкого давления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 низкого давления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ул.Радужная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Белоярская,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п.Научный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городок 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1172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22:61:010815:1844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 низкого давления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п.Научный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городок г.Барнаула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ул.Магистральная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7,8,10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568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22:61:000000:1681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5 газовых сетей муниципальной собственности протяженностью 2892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5 объектов газоснабжения: 9958, 08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497, 90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995, 80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№24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1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низкого давления до жилых домов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п.Лесной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п.Лесной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526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22:61:000000:1465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низкого давления по переулку 5-му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п.Лесная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Поляна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480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22:61:000000:1632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2 газовые сети муниципальной собственности протяженностью 1006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2 объектов газоснабжения: 3862, 41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193, 12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386, 24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№25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685"/>
        <w:gridCol w:w="1134"/>
        <w:gridCol w:w="1984"/>
      </w:tblGrid>
      <w:tr>
        <w:tblPrEx/>
        <w:trPr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9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п.Кирова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Центрального района г.Барнаула "Газопровод до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улХвойная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Кутузова, Краевая в Центральном районе г.Барнаула. 2-ая очередь строительства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6496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22:63:000000:8504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12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низкого давления до жилых домов в границах улиц Краевая,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-д Параллельный г.Барнаула (1 очередь)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 Краевая,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-д Параллельный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957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22:63:000000:2298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ул.Кутузова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(нечетная сторона)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ул.Семипалатинской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в границах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ул.Демьяна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Бедного,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-да Лесного (в составе сети ГРПШ-03МЗ-2У1 №0-9521)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2515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22:63:000000:6701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 границах улиц Вербная,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пер.Ангарский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ул.Краевая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-д Ташкентский,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ул.Загородная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ул.Кутузова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ул.Хвойная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5418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22:63:000000:6993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котельных индивидуальных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ул.Краевой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252, 254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165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22:63:050453:949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8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Распределительный газопровод до жилых домов в границах улиц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Щетинкина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Кутузова,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д.Бедного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Краевая 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3762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22:63:000000:8489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6 газовых сетей муниципальной собственности протяженностью 19313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6 объектов газоснабжения: 76185, 42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3809, 27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7618, 54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/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Председатель комитета  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                                                                   С.Н. Фоминых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454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5"/>
      <w:jc w:val="right"/>
      <w:rPr>
        <w:rFonts w:ascii="PT Astra Serif" w:hAnsi="PT Astra Serif" w:cs="PT Astra Serif"/>
        <w:sz w:val="24"/>
        <w:szCs w:val="24"/>
      </w:rPr>
    </w:pPr>
    <w:r>
      <w:rPr>
        <w:rFonts w:ascii="PT Astra Serif" w:hAnsi="PT Astra Serif" w:eastAsia="PT Astra Serif" w:cs="PT Astra Serif"/>
        <w:sz w:val="24"/>
        <w:szCs w:val="24"/>
      </w:rPr>
      <w:fldChar w:fldCharType="begin"/>
    </w:r>
    <w:r>
      <w:rPr>
        <w:rFonts w:ascii="PT Astra Serif" w:hAnsi="PT Astra Serif" w:eastAsia="PT Astra Serif" w:cs="PT Astra Serif"/>
        <w:sz w:val="24"/>
        <w:szCs w:val="24"/>
      </w:rPr>
      <w:instrText xml:space="preserve">PAGE   \* MERGEFORMAT</w:instrText>
    </w:r>
    <w:r>
      <w:rPr>
        <w:rFonts w:ascii="PT Astra Serif" w:hAnsi="PT Astra Serif" w:eastAsia="PT Astra Serif" w:cs="PT Astra Serif"/>
        <w:sz w:val="24"/>
        <w:szCs w:val="24"/>
      </w:rPr>
      <w:fldChar w:fldCharType="separate"/>
    </w:r>
    <w:r>
      <w:rPr>
        <w:rFonts w:ascii="PT Astra Serif" w:hAnsi="PT Astra Serif" w:eastAsia="PT Astra Serif" w:cs="PT Astra Serif"/>
        <w:sz w:val="24"/>
        <w:szCs w:val="24"/>
      </w:rPr>
      <w:t xml:space="preserve">2</w:t>
    </w:r>
    <w:r>
      <w:rPr>
        <w:rFonts w:ascii="PT Astra Serif" w:hAnsi="PT Astra Serif" w:eastAsia="PT Astra Serif" w:cs="PT Astra Serif"/>
        <w:sz w:val="24"/>
        <w:szCs w:val="24"/>
      </w:rPr>
      <w:fldChar w:fldCharType="end"/>
    </w:r>
    <w:r>
      <w:rPr>
        <w:rFonts w:ascii="PT Astra Serif" w:hAnsi="PT Astra Serif" w:cs="PT Astra Serif"/>
        <w:sz w:val="24"/>
        <w:szCs w:val="24"/>
      </w:rPr>
    </w:r>
    <w:r>
      <w:rPr>
        <w:rFonts w:ascii="PT Astra Serif" w:hAnsi="PT Astra Serif" w:cs="PT Astra Serif"/>
        <w:sz w:val="24"/>
        <w:szCs w:val="24"/>
      </w:rPr>
    </w:r>
  </w:p>
  <w:p>
    <w:pPr>
      <w:pStyle w:val="825"/>
      <w:rPr>
        <w:rFonts w:ascii="PT Astra Serif" w:hAnsi="PT Astra Serif" w:cs="PT Astra Serif"/>
        <w:sz w:val="24"/>
        <w:szCs w:val="24"/>
      </w:rPr>
    </w:pPr>
    <w:r>
      <w:rPr>
        <w:rFonts w:ascii="PT Astra Serif" w:hAnsi="PT Astra Serif" w:eastAsia="PT Astra Serif" w:cs="PT Astra Serif"/>
        <w:sz w:val="24"/>
        <w:szCs w:val="24"/>
      </w:rPr>
    </w:r>
    <w:r>
      <w:rPr>
        <w:rFonts w:ascii="PT Astra Serif" w:hAnsi="PT Astra Serif" w:cs="PT Astra Serif"/>
        <w:sz w:val="24"/>
        <w:szCs w:val="24"/>
      </w:rPr>
    </w:r>
    <w:r>
      <w:rPr>
        <w:rFonts w:ascii="PT Astra Serif" w:hAnsi="PT Astra Serif" w:cs="PT Astra Serif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98" w:hanging="105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68" w:hanging="360"/>
      </w:pPr>
    </w:lvl>
    <w:lvl w:ilvl="4">
      <w:start w:val="1"/>
      <w:numFmt w:val="lowerLetter"/>
      <w:pStyle w:val="783"/>
      <w:isLgl w:val="false"/>
      <w:suff w:val="tab"/>
      <w:lvlText w:val="%5."/>
      <w:lvlJc w:val="left"/>
      <w:pPr>
        <w:ind w:left="39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6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8"/>
  </w:num>
  <w:num w:numId="2">
    <w:abstractNumId w:val="20"/>
  </w:num>
  <w:num w:numId="3">
    <w:abstractNumId w:val="14"/>
  </w:num>
  <w:num w:numId="4">
    <w:abstractNumId w:val="23"/>
  </w:num>
  <w:num w:numId="5">
    <w:abstractNumId w:val="8"/>
  </w:num>
  <w:num w:numId="6">
    <w:abstractNumId w:val="16"/>
  </w:num>
  <w:num w:numId="7">
    <w:abstractNumId w:val="9"/>
  </w:num>
  <w:num w:numId="8">
    <w:abstractNumId w:val="22"/>
  </w:num>
  <w:num w:numId="9">
    <w:abstractNumId w:val="1"/>
  </w:num>
  <w:num w:numId="10">
    <w:abstractNumId w:val="6"/>
  </w:num>
  <w:num w:numId="11">
    <w:abstractNumId w:val="0"/>
  </w:num>
  <w:num w:numId="12">
    <w:abstractNumId w:val="13"/>
  </w:num>
  <w:num w:numId="13">
    <w:abstractNumId w:val="7"/>
  </w:num>
  <w:num w:numId="14">
    <w:abstractNumId w:val="21"/>
  </w:num>
  <w:num w:numId="15">
    <w:abstractNumId w:val="25"/>
  </w:num>
  <w:num w:numId="16">
    <w:abstractNumId w:val="11"/>
  </w:num>
  <w:num w:numId="17">
    <w:abstractNumId w:val="15"/>
  </w:num>
  <w:num w:numId="18">
    <w:abstractNumId w:val="3"/>
  </w:num>
  <w:num w:numId="19">
    <w:abstractNumId w:val="4"/>
  </w:num>
  <w:num w:numId="20">
    <w:abstractNumId w:val="10"/>
  </w:num>
  <w:num w:numId="21">
    <w:abstractNumId w:val="17"/>
  </w:num>
  <w:num w:numId="22">
    <w:abstractNumId w:val="2"/>
  </w:num>
  <w:num w:numId="23">
    <w:abstractNumId w:val="24"/>
  </w:num>
  <w:num w:numId="24">
    <w:abstractNumId w:val="5"/>
  </w:num>
  <w:num w:numId="25">
    <w:abstractNumId w:val="19"/>
  </w:num>
  <w:num w:numId="26">
    <w:abstractNumId w:val="12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8" w:default="1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779">
    <w:name w:val="Heading 1"/>
    <w:basedOn w:val="778"/>
    <w:next w:val="778"/>
    <w:link w:val="80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80">
    <w:name w:val="Heading 2"/>
    <w:basedOn w:val="778"/>
    <w:next w:val="778"/>
    <w:link w:val="80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81">
    <w:name w:val="Heading 3"/>
    <w:basedOn w:val="778"/>
    <w:next w:val="778"/>
    <w:link w:val="80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82">
    <w:name w:val="Heading 4"/>
    <w:basedOn w:val="778"/>
    <w:next w:val="778"/>
    <w:link w:val="80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3">
    <w:name w:val="Heading 5"/>
    <w:basedOn w:val="778"/>
    <w:next w:val="778"/>
    <w:link w:val="984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paragraph" w:styleId="784">
    <w:name w:val="Heading 6"/>
    <w:basedOn w:val="778"/>
    <w:next w:val="778"/>
    <w:link w:val="81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85">
    <w:name w:val="Heading 7"/>
    <w:basedOn w:val="778"/>
    <w:next w:val="778"/>
    <w:link w:val="81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86">
    <w:name w:val="Heading 8"/>
    <w:basedOn w:val="778"/>
    <w:next w:val="778"/>
    <w:link w:val="81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87">
    <w:name w:val="Heading 9"/>
    <w:basedOn w:val="778"/>
    <w:next w:val="778"/>
    <w:link w:val="81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8" w:default="1">
    <w:name w:val="Default Paragraph Font"/>
    <w:uiPriority w:val="1"/>
    <w:semiHidden/>
    <w:unhideWhenUsed/>
  </w:style>
  <w:style w:type="table" w:styleId="7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0" w:default="1">
    <w:name w:val="No List"/>
    <w:uiPriority w:val="99"/>
    <w:semiHidden/>
    <w:unhideWhenUsed/>
  </w:style>
  <w:style w:type="character" w:styleId="791" w:customStyle="1">
    <w:name w:val="Heading 1 Char"/>
    <w:basedOn w:val="788"/>
    <w:uiPriority w:val="9"/>
    <w:rPr>
      <w:rFonts w:ascii="Arial" w:hAnsi="Arial" w:eastAsia="Arial" w:cs="Arial"/>
      <w:sz w:val="40"/>
      <w:szCs w:val="40"/>
    </w:rPr>
  </w:style>
  <w:style w:type="character" w:styleId="792" w:customStyle="1">
    <w:name w:val="Heading 2 Char"/>
    <w:basedOn w:val="788"/>
    <w:uiPriority w:val="9"/>
    <w:rPr>
      <w:rFonts w:ascii="Arial" w:hAnsi="Arial" w:eastAsia="Arial" w:cs="Arial"/>
      <w:sz w:val="34"/>
    </w:rPr>
  </w:style>
  <w:style w:type="character" w:styleId="793" w:customStyle="1">
    <w:name w:val="Heading 3 Char"/>
    <w:basedOn w:val="788"/>
    <w:uiPriority w:val="9"/>
    <w:rPr>
      <w:rFonts w:ascii="Arial" w:hAnsi="Arial" w:eastAsia="Arial" w:cs="Arial"/>
      <w:sz w:val="30"/>
      <w:szCs w:val="30"/>
    </w:rPr>
  </w:style>
  <w:style w:type="character" w:styleId="794" w:customStyle="1">
    <w:name w:val="Heading 4 Char"/>
    <w:basedOn w:val="788"/>
    <w:uiPriority w:val="9"/>
    <w:rPr>
      <w:rFonts w:ascii="Arial" w:hAnsi="Arial" w:eastAsia="Arial" w:cs="Arial"/>
      <w:b/>
      <w:bCs/>
      <w:sz w:val="26"/>
      <w:szCs w:val="26"/>
    </w:rPr>
  </w:style>
  <w:style w:type="character" w:styleId="795" w:customStyle="1">
    <w:name w:val="Heading 6 Char"/>
    <w:basedOn w:val="788"/>
    <w:uiPriority w:val="9"/>
    <w:rPr>
      <w:rFonts w:ascii="Arial" w:hAnsi="Arial" w:eastAsia="Arial" w:cs="Arial"/>
      <w:b/>
      <w:bCs/>
      <w:sz w:val="22"/>
      <w:szCs w:val="22"/>
    </w:rPr>
  </w:style>
  <w:style w:type="character" w:styleId="796" w:customStyle="1">
    <w:name w:val="Heading 7 Char"/>
    <w:basedOn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7" w:customStyle="1">
    <w:name w:val="Heading 8 Char"/>
    <w:basedOn w:val="788"/>
    <w:uiPriority w:val="9"/>
    <w:rPr>
      <w:rFonts w:ascii="Arial" w:hAnsi="Arial" w:eastAsia="Arial" w:cs="Arial"/>
      <w:i/>
      <w:iCs/>
      <w:sz w:val="22"/>
      <w:szCs w:val="22"/>
    </w:rPr>
  </w:style>
  <w:style w:type="character" w:styleId="798" w:customStyle="1">
    <w:name w:val="Heading 9 Char"/>
    <w:basedOn w:val="788"/>
    <w:uiPriority w:val="9"/>
    <w:rPr>
      <w:rFonts w:ascii="Arial" w:hAnsi="Arial" w:eastAsia="Arial" w:cs="Arial"/>
      <w:i/>
      <w:iCs/>
      <w:sz w:val="21"/>
      <w:szCs w:val="21"/>
    </w:rPr>
  </w:style>
  <w:style w:type="character" w:styleId="799" w:customStyle="1">
    <w:name w:val="Title Char"/>
    <w:basedOn w:val="788"/>
    <w:uiPriority w:val="10"/>
    <w:rPr>
      <w:sz w:val="48"/>
      <w:szCs w:val="48"/>
    </w:rPr>
  </w:style>
  <w:style w:type="character" w:styleId="800" w:customStyle="1">
    <w:name w:val="Subtitle Char"/>
    <w:basedOn w:val="788"/>
    <w:uiPriority w:val="11"/>
    <w:rPr>
      <w:sz w:val="24"/>
      <w:szCs w:val="24"/>
    </w:rPr>
  </w:style>
  <w:style w:type="character" w:styleId="801" w:customStyle="1">
    <w:name w:val="Quote Char"/>
    <w:uiPriority w:val="29"/>
    <w:rPr>
      <w:i/>
    </w:rPr>
  </w:style>
  <w:style w:type="character" w:styleId="802" w:customStyle="1">
    <w:name w:val="Intense Quote Char"/>
    <w:uiPriority w:val="30"/>
    <w:rPr>
      <w:i/>
    </w:rPr>
  </w:style>
  <w:style w:type="character" w:styleId="803" w:customStyle="1">
    <w:name w:val="Caption Char"/>
    <w:basedOn w:val="788"/>
    <w:uiPriority w:val="35"/>
    <w:rPr>
      <w:b/>
      <w:bCs/>
      <w:color w:val="4f81bd" w:themeColor="accent1"/>
      <w:sz w:val="18"/>
      <w:szCs w:val="18"/>
    </w:rPr>
  </w:style>
  <w:style w:type="character" w:styleId="804" w:customStyle="1">
    <w:name w:val="Footnote Text Char"/>
    <w:uiPriority w:val="99"/>
    <w:rPr>
      <w:sz w:val="18"/>
    </w:rPr>
  </w:style>
  <w:style w:type="character" w:styleId="805" w:customStyle="1">
    <w:name w:val="Endnote Text Char"/>
    <w:uiPriority w:val="99"/>
    <w:rPr>
      <w:sz w:val="20"/>
    </w:rPr>
  </w:style>
  <w:style w:type="character" w:styleId="806" w:customStyle="1">
    <w:name w:val="Заголовок 1 Знак"/>
    <w:link w:val="779"/>
    <w:uiPriority w:val="9"/>
    <w:rPr>
      <w:rFonts w:ascii="Arial" w:hAnsi="Arial" w:eastAsia="Arial" w:cs="Arial"/>
      <w:sz w:val="40"/>
      <w:szCs w:val="40"/>
    </w:rPr>
  </w:style>
  <w:style w:type="character" w:styleId="807" w:customStyle="1">
    <w:name w:val="Заголовок 2 Знак"/>
    <w:link w:val="780"/>
    <w:uiPriority w:val="9"/>
    <w:rPr>
      <w:rFonts w:ascii="Arial" w:hAnsi="Arial" w:eastAsia="Arial" w:cs="Arial"/>
      <w:sz w:val="34"/>
    </w:rPr>
  </w:style>
  <w:style w:type="character" w:styleId="808" w:customStyle="1">
    <w:name w:val="Заголовок 3 Знак"/>
    <w:link w:val="781"/>
    <w:uiPriority w:val="9"/>
    <w:rPr>
      <w:rFonts w:ascii="Arial" w:hAnsi="Arial" w:eastAsia="Arial" w:cs="Arial"/>
      <w:sz w:val="30"/>
      <w:szCs w:val="30"/>
    </w:rPr>
  </w:style>
  <w:style w:type="character" w:styleId="809" w:customStyle="1">
    <w:name w:val="Заголовок 4 Знак"/>
    <w:link w:val="782"/>
    <w:uiPriority w:val="9"/>
    <w:rPr>
      <w:rFonts w:ascii="Arial" w:hAnsi="Arial" w:eastAsia="Arial" w:cs="Arial"/>
      <w:b/>
      <w:bCs/>
      <w:sz w:val="26"/>
      <w:szCs w:val="26"/>
    </w:rPr>
  </w:style>
  <w:style w:type="character" w:styleId="810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811" w:customStyle="1">
    <w:name w:val="Заголовок 6 Знак"/>
    <w:link w:val="784"/>
    <w:uiPriority w:val="9"/>
    <w:rPr>
      <w:rFonts w:ascii="Arial" w:hAnsi="Arial" w:eastAsia="Arial" w:cs="Arial"/>
      <w:b/>
      <w:bCs/>
      <w:sz w:val="22"/>
      <w:szCs w:val="22"/>
    </w:rPr>
  </w:style>
  <w:style w:type="character" w:styleId="812" w:customStyle="1">
    <w:name w:val="Заголовок 7 Знак"/>
    <w:link w:val="7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3" w:customStyle="1">
    <w:name w:val="Заголовок 8 Знак"/>
    <w:link w:val="786"/>
    <w:uiPriority w:val="9"/>
    <w:rPr>
      <w:rFonts w:ascii="Arial" w:hAnsi="Arial" w:eastAsia="Arial" w:cs="Arial"/>
      <w:i/>
      <w:iCs/>
      <w:sz w:val="22"/>
      <w:szCs w:val="22"/>
    </w:rPr>
  </w:style>
  <w:style w:type="character" w:styleId="814" w:customStyle="1">
    <w:name w:val="Заголовок 9 Знак"/>
    <w:link w:val="787"/>
    <w:uiPriority w:val="9"/>
    <w:rPr>
      <w:rFonts w:ascii="Arial" w:hAnsi="Arial" w:eastAsia="Arial" w:cs="Arial"/>
      <w:i/>
      <w:iCs/>
      <w:sz w:val="21"/>
      <w:szCs w:val="21"/>
    </w:rPr>
  </w:style>
  <w:style w:type="paragraph" w:styleId="815">
    <w:name w:val="List Paragraph"/>
    <w:basedOn w:val="778"/>
    <w:uiPriority w:val="34"/>
    <w:qFormat/>
    <w:pPr>
      <w:contextualSpacing/>
      <w:ind w:left="720"/>
    </w:pPr>
  </w:style>
  <w:style w:type="paragraph" w:styleId="816">
    <w:name w:val="No Spacing"/>
    <w:uiPriority w:val="1"/>
    <w:qFormat/>
  </w:style>
  <w:style w:type="paragraph" w:styleId="817">
    <w:name w:val="Title"/>
    <w:basedOn w:val="778"/>
    <w:next w:val="778"/>
    <w:link w:val="818"/>
    <w:uiPriority w:val="10"/>
    <w:qFormat/>
    <w:pPr>
      <w:contextualSpacing/>
      <w:spacing w:before="300"/>
    </w:pPr>
    <w:rPr>
      <w:sz w:val="48"/>
      <w:szCs w:val="48"/>
    </w:rPr>
  </w:style>
  <w:style w:type="character" w:styleId="818" w:customStyle="1">
    <w:name w:val="Название Знак"/>
    <w:link w:val="817"/>
    <w:uiPriority w:val="10"/>
    <w:rPr>
      <w:sz w:val="48"/>
      <w:szCs w:val="48"/>
    </w:rPr>
  </w:style>
  <w:style w:type="paragraph" w:styleId="819">
    <w:name w:val="Subtitle"/>
    <w:basedOn w:val="778"/>
    <w:next w:val="778"/>
    <w:link w:val="820"/>
    <w:uiPriority w:val="11"/>
    <w:qFormat/>
    <w:pPr>
      <w:spacing w:before="200"/>
    </w:pPr>
    <w:rPr>
      <w:sz w:val="24"/>
      <w:szCs w:val="24"/>
    </w:rPr>
  </w:style>
  <w:style w:type="character" w:styleId="820" w:customStyle="1">
    <w:name w:val="Подзаголовок Знак"/>
    <w:link w:val="819"/>
    <w:uiPriority w:val="11"/>
    <w:rPr>
      <w:sz w:val="24"/>
      <w:szCs w:val="24"/>
    </w:rPr>
  </w:style>
  <w:style w:type="paragraph" w:styleId="821">
    <w:name w:val="Quote"/>
    <w:basedOn w:val="778"/>
    <w:next w:val="778"/>
    <w:link w:val="822"/>
    <w:uiPriority w:val="29"/>
    <w:qFormat/>
    <w:pPr>
      <w:ind w:left="720" w:right="720"/>
    </w:pPr>
    <w:rPr>
      <w:i/>
    </w:rPr>
  </w:style>
  <w:style w:type="character" w:styleId="822" w:customStyle="1">
    <w:name w:val="Цитата 2 Знак"/>
    <w:link w:val="821"/>
    <w:uiPriority w:val="29"/>
    <w:rPr>
      <w:i/>
    </w:rPr>
  </w:style>
  <w:style w:type="paragraph" w:styleId="823">
    <w:name w:val="Intense Quote"/>
    <w:basedOn w:val="778"/>
    <w:next w:val="778"/>
    <w:link w:val="82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4" w:customStyle="1">
    <w:name w:val="Выделенная цитата Знак"/>
    <w:link w:val="823"/>
    <w:uiPriority w:val="30"/>
    <w:rPr>
      <w:i/>
    </w:rPr>
  </w:style>
  <w:style w:type="paragraph" w:styleId="825">
    <w:name w:val="Header"/>
    <w:basedOn w:val="778"/>
    <w:link w:val="97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26" w:customStyle="1">
    <w:name w:val="Header Char"/>
    <w:uiPriority w:val="99"/>
  </w:style>
  <w:style w:type="paragraph" w:styleId="827">
    <w:name w:val="Footer"/>
    <w:basedOn w:val="778"/>
    <w:link w:val="98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28" w:customStyle="1">
    <w:name w:val="Footer Char"/>
    <w:uiPriority w:val="99"/>
  </w:style>
  <w:style w:type="paragraph" w:styleId="829">
    <w:name w:val="Caption"/>
    <w:basedOn w:val="778"/>
    <w:next w:val="778"/>
    <w:link w:val="83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830" w:customStyle="1">
    <w:name w:val="Название объекта Знак"/>
    <w:link w:val="829"/>
    <w:uiPriority w:val="35"/>
    <w:rPr>
      <w:b/>
      <w:bCs/>
      <w:color w:val="4f81bd" w:themeColor="accent1"/>
      <w:sz w:val="18"/>
      <w:szCs w:val="18"/>
    </w:rPr>
  </w:style>
  <w:style w:type="table" w:styleId="831">
    <w:name w:val="Table Grid"/>
    <w:basedOn w:val="789"/>
    <w:uiPriority w:val="59"/>
    <w:tblPr/>
  </w:style>
  <w:style w:type="table" w:styleId="83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4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5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6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8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6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6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6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6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6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6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7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7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7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73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7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7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7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80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7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9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0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0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2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2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2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2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2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29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5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5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5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5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5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5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57">
    <w:name w:val="Hyperlink"/>
    <w:rPr>
      <w:color w:val="0000ff"/>
      <w:u w:val="single"/>
    </w:rPr>
  </w:style>
  <w:style w:type="paragraph" w:styleId="958">
    <w:name w:val="footnote text"/>
    <w:basedOn w:val="778"/>
    <w:link w:val="959"/>
    <w:uiPriority w:val="99"/>
    <w:semiHidden/>
    <w:unhideWhenUsed/>
    <w:pPr>
      <w:spacing w:after="40" w:line="240" w:lineRule="auto"/>
    </w:pPr>
    <w:rPr>
      <w:sz w:val="18"/>
    </w:rPr>
  </w:style>
  <w:style w:type="character" w:styleId="959" w:customStyle="1">
    <w:name w:val="Текст сноски Знак"/>
    <w:link w:val="958"/>
    <w:uiPriority w:val="99"/>
    <w:rPr>
      <w:sz w:val="18"/>
    </w:rPr>
  </w:style>
  <w:style w:type="character" w:styleId="960">
    <w:name w:val="footnote reference"/>
    <w:uiPriority w:val="99"/>
    <w:unhideWhenUsed/>
    <w:rPr>
      <w:vertAlign w:val="superscript"/>
    </w:rPr>
  </w:style>
  <w:style w:type="paragraph" w:styleId="961">
    <w:name w:val="endnote text"/>
    <w:basedOn w:val="778"/>
    <w:link w:val="962"/>
    <w:uiPriority w:val="99"/>
    <w:semiHidden/>
    <w:unhideWhenUsed/>
    <w:pPr>
      <w:spacing w:after="0" w:line="240" w:lineRule="auto"/>
    </w:pPr>
    <w:rPr>
      <w:sz w:val="20"/>
    </w:rPr>
  </w:style>
  <w:style w:type="character" w:styleId="962" w:customStyle="1">
    <w:name w:val="Текст концевой сноски Знак"/>
    <w:link w:val="961"/>
    <w:uiPriority w:val="99"/>
    <w:rPr>
      <w:sz w:val="20"/>
    </w:rPr>
  </w:style>
  <w:style w:type="character" w:styleId="963">
    <w:name w:val="endnote reference"/>
    <w:uiPriority w:val="99"/>
    <w:semiHidden/>
    <w:unhideWhenUsed/>
    <w:rPr>
      <w:vertAlign w:val="superscript"/>
    </w:rPr>
  </w:style>
  <w:style w:type="paragraph" w:styleId="964">
    <w:name w:val="toc 1"/>
    <w:basedOn w:val="778"/>
    <w:next w:val="778"/>
    <w:uiPriority w:val="39"/>
    <w:unhideWhenUsed/>
    <w:pPr>
      <w:spacing w:after="57"/>
    </w:pPr>
  </w:style>
  <w:style w:type="paragraph" w:styleId="965">
    <w:name w:val="toc 2"/>
    <w:basedOn w:val="778"/>
    <w:next w:val="778"/>
    <w:uiPriority w:val="39"/>
    <w:unhideWhenUsed/>
    <w:pPr>
      <w:ind w:left="283"/>
      <w:spacing w:after="57"/>
    </w:pPr>
  </w:style>
  <w:style w:type="paragraph" w:styleId="966">
    <w:name w:val="toc 3"/>
    <w:basedOn w:val="778"/>
    <w:next w:val="778"/>
    <w:uiPriority w:val="39"/>
    <w:unhideWhenUsed/>
    <w:pPr>
      <w:ind w:left="567"/>
      <w:spacing w:after="57"/>
    </w:pPr>
  </w:style>
  <w:style w:type="paragraph" w:styleId="967">
    <w:name w:val="toc 4"/>
    <w:basedOn w:val="778"/>
    <w:next w:val="778"/>
    <w:uiPriority w:val="39"/>
    <w:unhideWhenUsed/>
    <w:pPr>
      <w:ind w:left="850"/>
      <w:spacing w:after="57"/>
    </w:pPr>
  </w:style>
  <w:style w:type="paragraph" w:styleId="968">
    <w:name w:val="toc 5"/>
    <w:basedOn w:val="778"/>
    <w:next w:val="778"/>
    <w:uiPriority w:val="39"/>
    <w:unhideWhenUsed/>
    <w:pPr>
      <w:ind w:left="1134"/>
      <w:spacing w:after="57"/>
    </w:pPr>
  </w:style>
  <w:style w:type="paragraph" w:styleId="969">
    <w:name w:val="toc 6"/>
    <w:basedOn w:val="778"/>
    <w:next w:val="778"/>
    <w:uiPriority w:val="39"/>
    <w:unhideWhenUsed/>
    <w:pPr>
      <w:ind w:left="1417"/>
      <w:spacing w:after="57"/>
    </w:pPr>
  </w:style>
  <w:style w:type="paragraph" w:styleId="970">
    <w:name w:val="toc 7"/>
    <w:basedOn w:val="778"/>
    <w:next w:val="778"/>
    <w:uiPriority w:val="39"/>
    <w:unhideWhenUsed/>
    <w:pPr>
      <w:ind w:left="1701"/>
      <w:spacing w:after="57"/>
    </w:pPr>
  </w:style>
  <w:style w:type="paragraph" w:styleId="971">
    <w:name w:val="toc 8"/>
    <w:basedOn w:val="778"/>
    <w:next w:val="778"/>
    <w:uiPriority w:val="39"/>
    <w:unhideWhenUsed/>
    <w:pPr>
      <w:ind w:left="1984"/>
      <w:spacing w:after="57"/>
    </w:pPr>
  </w:style>
  <w:style w:type="paragraph" w:styleId="972">
    <w:name w:val="toc 9"/>
    <w:basedOn w:val="778"/>
    <w:next w:val="778"/>
    <w:uiPriority w:val="39"/>
    <w:unhideWhenUsed/>
    <w:pPr>
      <w:ind w:left="2268"/>
      <w:spacing w:after="57"/>
    </w:pPr>
  </w:style>
  <w:style w:type="paragraph" w:styleId="973">
    <w:name w:val="TOC Heading"/>
    <w:uiPriority w:val="39"/>
    <w:unhideWhenUsed/>
  </w:style>
  <w:style w:type="paragraph" w:styleId="974">
    <w:name w:val="table of figures"/>
    <w:basedOn w:val="778"/>
    <w:next w:val="778"/>
    <w:uiPriority w:val="99"/>
    <w:unhideWhenUsed/>
    <w:pPr>
      <w:spacing w:after="0"/>
    </w:pPr>
  </w:style>
  <w:style w:type="paragraph" w:styleId="975">
    <w:name w:val="Body Text"/>
    <w:basedOn w:val="778"/>
    <w:link w:val="976"/>
    <w:pPr>
      <w:jc w:val="both"/>
      <w:spacing w:after="0" w:line="240" w:lineRule="auto"/>
      <w:tabs>
        <w:tab w:val="left" w:pos="0" w:leader="none"/>
        <w:tab w:val="left" w:pos="567" w:leader="none"/>
      </w:tabs>
    </w:pPr>
    <w:rPr>
      <w:rFonts w:ascii="Times New Roman" w:hAnsi="Times New Roman"/>
      <w:sz w:val="28"/>
      <w:szCs w:val="20"/>
    </w:rPr>
  </w:style>
  <w:style w:type="character" w:styleId="976" w:customStyle="1">
    <w:name w:val="Основной текст Знак"/>
    <w:link w:val="975"/>
    <w:rPr>
      <w:rFonts w:ascii="Times New Roman" w:hAnsi="Times New Roman" w:eastAsia="Times New Roman" w:cs="Times New Roman"/>
      <w:sz w:val="28"/>
      <w:szCs w:val="20"/>
    </w:rPr>
  </w:style>
  <w:style w:type="paragraph" w:styleId="977">
    <w:name w:val="Body Text Indent 2"/>
    <w:basedOn w:val="778"/>
    <w:link w:val="978"/>
    <w:uiPriority w:val="99"/>
    <w:semiHidden/>
    <w:unhideWhenUsed/>
    <w:pPr>
      <w:ind w:left="283"/>
      <w:spacing w:after="120" w:line="480" w:lineRule="auto"/>
    </w:pPr>
  </w:style>
  <w:style w:type="character" w:styleId="978" w:customStyle="1">
    <w:name w:val="Основной текст с отступом 2 Знак"/>
    <w:basedOn w:val="788"/>
    <w:link w:val="977"/>
    <w:uiPriority w:val="99"/>
    <w:semiHidden/>
  </w:style>
  <w:style w:type="character" w:styleId="979" w:customStyle="1">
    <w:name w:val="Верхний колонтитул Знак"/>
    <w:basedOn w:val="788"/>
    <w:link w:val="825"/>
    <w:uiPriority w:val="99"/>
  </w:style>
  <w:style w:type="character" w:styleId="980" w:customStyle="1">
    <w:name w:val="Нижний колонтитул Знак"/>
    <w:basedOn w:val="788"/>
    <w:link w:val="827"/>
    <w:uiPriority w:val="99"/>
  </w:style>
  <w:style w:type="paragraph" w:styleId="981">
    <w:name w:val="Balloon Text"/>
    <w:basedOn w:val="778"/>
    <w:link w:val="98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82" w:customStyle="1">
    <w:name w:val="Текст выноски Знак"/>
    <w:link w:val="981"/>
    <w:uiPriority w:val="99"/>
    <w:semiHidden/>
    <w:rPr>
      <w:rFonts w:ascii="Tahoma" w:hAnsi="Tahoma" w:cs="Tahoma"/>
      <w:sz w:val="16"/>
      <w:szCs w:val="16"/>
    </w:rPr>
  </w:style>
  <w:style w:type="paragraph" w:styleId="983" w:customStyle="1">
    <w:name w:val="ConsPlusNormal"/>
    <w:pPr>
      <w:ind w:firstLine="720"/>
    </w:pPr>
    <w:rPr>
      <w:rFonts w:ascii="Arial" w:hAnsi="Arial" w:cs="Arial"/>
      <w:lang w:eastAsia="ru-RU"/>
    </w:rPr>
  </w:style>
  <w:style w:type="character" w:styleId="984" w:customStyle="1">
    <w:name w:val="Заголовок 5 Знак"/>
    <w:link w:val="783"/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styleId="985">
    <w:name w:val="annotation reference"/>
    <w:uiPriority w:val="99"/>
    <w:semiHidden/>
    <w:unhideWhenUsed/>
    <w:rPr>
      <w:sz w:val="16"/>
      <w:szCs w:val="16"/>
    </w:rPr>
  </w:style>
  <w:style w:type="paragraph" w:styleId="986">
    <w:name w:val="annotation text"/>
    <w:basedOn w:val="778"/>
    <w:link w:val="987"/>
    <w:uiPriority w:val="99"/>
    <w:semiHidden/>
    <w:unhideWhenUsed/>
    <w:rPr>
      <w:sz w:val="20"/>
      <w:szCs w:val="20"/>
    </w:rPr>
  </w:style>
  <w:style w:type="character" w:styleId="987" w:customStyle="1">
    <w:name w:val="Текст примечания Знак"/>
    <w:basedOn w:val="788"/>
    <w:link w:val="986"/>
    <w:uiPriority w:val="99"/>
    <w:semiHidden/>
  </w:style>
  <w:style w:type="paragraph" w:styleId="988">
    <w:name w:val="annotation subject"/>
    <w:basedOn w:val="986"/>
    <w:next w:val="986"/>
    <w:link w:val="989"/>
    <w:uiPriority w:val="99"/>
    <w:semiHidden/>
    <w:unhideWhenUsed/>
    <w:rPr>
      <w:b/>
      <w:bCs/>
    </w:rPr>
  </w:style>
  <w:style w:type="character" w:styleId="989" w:customStyle="1">
    <w:name w:val="Тема примечания Знак"/>
    <w:link w:val="988"/>
    <w:uiPriority w:val="99"/>
    <w:semiHidden/>
    <w:rPr>
      <w:b/>
      <w:bCs/>
    </w:rPr>
  </w:style>
  <w:style w:type="paragraph" w:styleId="990">
    <w:name w:val="Body Text Indent 3"/>
    <w:basedOn w:val="778"/>
    <w:link w:val="991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991" w:customStyle="1">
    <w:name w:val="Основной текст с отступом 3 Знак"/>
    <w:link w:val="990"/>
    <w:uiPriority w:val="99"/>
    <w:semiHidden/>
    <w:rPr>
      <w:sz w:val="16"/>
      <w:szCs w:val="16"/>
    </w:rPr>
  </w:style>
  <w:style w:type="paragraph" w:styleId="992" w:customStyle="1">
    <w:name w:val="Базовый"/>
    <w:pPr>
      <w:spacing w:after="200" w:line="276" w:lineRule="auto"/>
      <w:tabs>
        <w:tab w:val="left" w:pos="708" w:leader="none"/>
      </w:tabs>
    </w:pPr>
    <w:rPr>
      <w:rFonts w:ascii="Times New Roman" w:hAnsi="Times New Roman"/>
      <w:color w:val="00000a"/>
      <w:sz w:val="24"/>
      <w:szCs w:val="24"/>
      <w:lang w:eastAsia="ru-RU"/>
    </w:rPr>
  </w:style>
  <w:style w:type="character" w:styleId="993" w:customStyle="1">
    <w:name w:val="Интернет-ссылка"/>
    <w:rPr>
      <w:rFonts w:cs="Times New Roman"/>
      <w:color w:val="0000ff"/>
      <w:u w:val="single"/>
      <w:lang w:val="ru-RU"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12" Type="http://schemas.openxmlformats.org/officeDocument/2006/relationships/hyperlink" Target="https://www.rts-tender.ru" TargetMode="External"/><Relationship Id="rId13" Type="http://schemas.openxmlformats.org/officeDocument/2006/relationships/hyperlink" Target="http://www.torgi.gov.ru" TargetMode="External"/><Relationship Id="rId14" Type="http://schemas.openxmlformats.org/officeDocument/2006/relationships/hyperlink" Target="https://www.rts-tender.ru" TargetMode="External"/><Relationship Id="rId15" Type="http://schemas.openxmlformats.org/officeDocument/2006/relationships/hyperlink" Target="http://www.torgi.gov.ru" TargetMode="External"/><Relationship Id="rId16" Type="http://schemas.openxmlformats.org/officeDocument/2006/relationships/hyperlink" Target="mailto:filatova@kums.barnaul-ad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kums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filin</dc:creator>
  <cp:lastModifiedBy>kantarzhyan.sa</cp:lastModifiedBy>
  <cp:revision>405</cp:revision>
  <dcterms:created xsi:type="dcterms:W3CDTF">2023-10-09T06:41:00Z</dcterms:created>
  <dcterms:modified xsi:type="dcterms:W3CDTF">2026-09-01T02:53:05Z</dcterms:modified>
  <cp:version>983040</cp:version>
</cp:coreProperties>
</file>