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0"/>
        <w:jc w:val="center"/>
        <w:spacing w:line="235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</w:rPr>
        <w:t xml:space="preserve">Информация о действующих муниципальных унитарных предприятиях 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pStyle w:val="850"/>
        <w:jc w:val="center"/>
        <w:spacing w:line="235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</w:rPr>
        <w:t xml:space="preserve">на 01.</w:t>
      </w:r>
      <w:r>
        <w:rPr>
          <w:rFonts w:ascii="PT Astra Serif" w:hAnsi="PT Astra Serif" w:eastAsia="PT Astra Serif" w:cs="PT Astra Serif"/>
          <w:sz w:val="28"/>
          <w:szCs w:val="24"/>
        </w:rPr>
        <w:t xml:space="preserve">08</w:t>
      </w:r>
      <w:r>
        <w:rPr>
          <w:rFonts w:ascii="PT Astra Serif" w:hAnsi="PT Astra Serif" w:eastAsia="PT Astra Serif" w:cs="PT Astra Serif"/>
          <w:sz w:val="28"/>
          <w:szCs w:val="24"/>
        </w:rPr>
        <w:t xml:space="preserve">.20</w:t>
      </w:r>
      <w:r>
        <w:rPr>
          <w:rFonts w:ascii="PT Astra Serif" w:hAnsi="PT Astra Serif" w:eastAsia="PT Astra Serif" w:cs="PT Astra Serif"/>
          <w:sz w:val="28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4"/>
        </w:rPr>
        <w:t xml:space="preserve">6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pStyle w:val="850"/>
        <w:jc w:val="center"/>
        <w:spacing w:line="235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tbl>
      <w:tblPr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47"/>
        <w:gridCol w:w="87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747" w:type="dxa"/>
            <w:vAlign w:val="top"/>
            <w:vMerge w:val="restart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 п/п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8721" w:type="dxa"/>
            <w:vAlign w:val="top"/>
            <w:vMerge w:val="restart"/>
            <w:textDirection w:val="lrTb"/>
            <w:noWrap w:val="false"/>
          </w:tcPr>
          <w:p>
            <w:pPr>
              <w:pStyle w:val="850"/>
              <w:ind w:right="-108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8"/>
        </w:trPr>
        <w:tc>
          <w:tcPr>
            <w:tcW w:w="747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8721" w:type="dxa"/>
            <w:vAlign w:val="top"/>
            <w:textDirection w:val="lrTb"/>
            <w:noWrap w:val="false"/>
          </w:tcPr>
          <w:p>
            <w:pPr>
              <w:pStyle w:val="850"/>
              <w:ind w:right="-108"/>
              <w:spacing w:line="235" w:lineRule="auto"/>
              <w:tabs>
                <w:tab w:val="left" w:pos="1559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МУП «Горэлектротранс» г.Барнаула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spacing w:line="235" w:lineRule="auto"/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(656066, г.Барнаул, ул.Гридасова, 5)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60"/>
        <w:jc w:val="left"/>
        <w:spacing w:line="235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0"/>
        <w:spacing w:line="235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Информация</w:t>
      </w:r>
      <w:r>
        <w:rPr>
          <w:rFonts w:ascii="PT Astra Serif" w:hAnsi="PT Astra Serif" w:eastAsia="PT Astra Serif" w:cs="PT Astra Serif"/>
        </w:rPr>
        <w:t xml:space="preserve"> о </w:t>
      </w:r>
      <w:r>
        <w:rPr>
          <w:rFonts w:ascii="PT Astra Serif" w:hAnsi="PT Astra Serif" w:eastAsia="PT Astra Serif" w:cs="PT Astra Serif"/>
        </w:rPr>
        <w:t xml:space="preserve">муниципальных унитарных предприятиях, </w:t>
      </w:r>
      <w:r>
        <w:rPr>
          <w:rFonts w:ascii="PT Astra Serif" w:hAnsi="PT Astra Serif" w:eastAsia="PT Astra Serif" w:cs="PT Astra Serif"/>
          <w:lang w:val="ru-RU"/>
        </w:rPr>
        <w:br w:type="textWrapping" w:clear="all"/>
      </w:r>
      <w:r>
        <w:rPr>
          <w:rFonts w:ascii="PT Astra Serif" w:hAnsi="PT Astra Serif" w:eastAsia="PT Astra Serif" w:cs="PT Astra Serif"/>
        </w:rPr>
        <w:t xml:space="preserve">находящихся в стадии </w:t>
      </w:r>
      <w:r>
        <w:rPr>
          <w:rFonts w:ascii="PT Astra Serif" w:hAnsi="PT Astra Serif" w:eastAsia="PT Astra Serif" w:cs="PT Astra Serif"/>
          <w:lang w:val="ru-RU"/>
        </w:rPr>
        <w:t xml:space="preserve">банкротства</w:t>
      </w:r>
      <w:r>
        <w:rPr>
          <w:rFonts w:ascii="PT Astra Serif" w:hAnsi="PT Astra Serif" w:eastAsia="PT Astra Serif" w:cs="PT Astra Serif"/>
        </w:rPr>
        <w:t xml:space="preserve"> на </w:t>
      </w:r>
      <w:r>
        <w:rPr>
          <w:rFonts w:ascii="PT Astra Serif" w:hAnsi="PT Astra Serif" w:eastAsia="PT Astra Serif" w:cs="PT Astra Serif"/>
        </w:rPr>
        <w:t xml:space="preserve">01.</w:t>
      </w:r>
      <w:r>
        <w:rPr>
          <w:rFonts w:ascii="PT Astra Serif" w:hAnsi="PT Astra Serif" w:eastAsia="PT Astra Serif" w:cs="PT Astra Serif"/>
          <w:lang w:val="ru-RU"/>
        </w:rPr>
        <w:t xml:space="preserve">08</w:t>
      </w:r>
      <w:r>
        <w:rPr>
          <w:rFonts w:ascii="PT Astra Serif" w:hAnsi="PT Astra Serif" w:eastAsia="PT Astra Serif" w:cs="PT Astra Serif"/>
        </w:rPr>
        <w:t xml:space="preserve">.202</w:t>
      </w:r>
      <w:r>
        <w:rPr>
          <w:rFonts w:ascii="PT Astra Serif" w:hAnsi="PT Astra Serif" w:eastAsia="PT Astra Serif" w:cs="PT Astra Serif"/>
          <w:lang w:val="ru-RU"/>
        </w:rPr>
        <w:t xml:space="preserve">6</w:t>
      </w:r>
      <w:r>
        <w:rPr>
          <w:rFonts w:ascii="PT Astra Serif" w:hAnsi="PT Astra Serif" w:eastAsia="PT Astra Serif" w:cs="PT Astra Serif"/>
          <w:lang w:val="ru-RU"/>
        </w:rPr>
        <w:t xml:space="preserve">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0"/>
        <w:spacing w:line="235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17"/>
        <w:gridCol w:w="87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п/п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789" w:type="dxa"/>
            <w:vAlign w:val="center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2"/>
        </w:trPr>
        <w:tc>
          <w:tcPr>
            <w:tcBorders>
              <w:lef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8789" w:type="dxa"/>
            <w:vAlign w:val="top"/>
            <w:textDirection w:val="lrTb"/>
            <w:noWrap w:val="false"/>
          </w:tcPr>
          <w:p>
            <w:pPr>
              <w:pStyle w:val="850"/>
              <w:jc w:val="both"/>
              <w:spacing w:line="235" w:lineRule="auto"/>
              <w:widowControl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МУП «Управляющая компания «Центральная» Центрального района г.Барнаула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pStyle w:val="850"/>
              <w:jc w:val="both"/>
              <w:spacing w:line="235" w:lineRule="auto"/>
              <w:widowControl/>
              <w:rPr>
                <w:rFonts w:ascii="PT Astra Serif" w:hAnsi="PT Astra Serif" w:cs="PT Astra Serif"/>
                <w:sz w:val="23"/>
                <w:szCs w:val="23"/>
              </w:rPr>
            </w:pPr>
            <w:r>
              <w:rPr>
                <w:rFonts w:ascii="PT Astra Serif" w:hAnsi="PT Astra Serif" w:eastAsia="PT Astra Serif" w:cs="PT Astra Serif"/>
                <w:sz w:val="23"/>
                <w:szCs w:val="23"/>
              </w:rPr>
              <w:t xml:space="preserve">(открыта процедура, применяемая в деле о банкротстве – конкурсное производство)</w:t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6"/>
        </w:trPr>
        <w:tc>
          <w:tcPr>
            <w:tcBorders>
              <w:lef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8789" w:type="dxa"/>
            <w:vAlign w:val="top"/>
            <w:textDirection w:val="lrTb"/>
            <w:noWrap w:val="false"/>
          </w:tcPr>
          <w:p>
            <w:pPr>
              <w:pStyle w:val="850"/>
              <w:jc w:val="both"/>
              <w:spacing w:line="235" w:lineRule="auto"/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МУП «УК Смарт» г.Барнаула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jc w:val="both"/>
              <w:spacing w:line="235" w:lineRule="auto"/>
              <w:rPr>
                <w:rFonts w:ascii="PT Astra Serif" w:hAnsi="PT Astra Serif" w:cs="PT Astra Serif"/>
                <w:sz w:val="23"/>
                <w:szCs w:val="23"/>
              </w:rPr>
            </w:pPr>
            <w:r>
              <w:rPr>
                <w:rFonts w:ascii="PT Astra Serif" w:hAnsi="PT Astra Serif" w:eastAsia="PT Astra Serif" w:cs="PT Astra Serif"/>
                <w:sz w:val="23"/>
                <w:szCs w:val="23"/>
              </w:rPr>
              <w:t xml:space="preserve">(открыта процедура, применяемая в деле о банкротстве – конкурсное производство)</w:t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6"/>
        </w:trPr>
        <w:tc>
          <w:tcPr>
            <w:tcBorders>
              <w:lef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line="235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8789" w:type="dxa"/>
            <w:vAlign w:val="top"/>
            <w:textDirection w:val="lrTb"/>
            <w:noWrap w:val="false"/>
          </w:tcPr>
          <w:p>
            <w:pPr>
              <w:pStyle w:val="850"/>
              <w:jc w:val="both"/>
              <w:spacing w:line="235" w:lineRule="auto"/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МУП «ДЕЗ №1» Ленинского района г.Барнаула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jc w:val="both"/>
              <w:spacing w:line="235" w:lineRule="auto"/>
              <w:widowControl/>
              <w:rPr>
                <w:rFonts w:ascii="PT Astra Serif" w:hAnsi="PT Astra Serif" w:cs="PT Astra Serif"/>
                <w:sz w:val="23"/>
                <w:szCs w:val="23"/>
              </w:rPr>
            </w:pPr>
            <w:r>
              <w:rPr>
                <w:rFonts w:ascii="PT Astra Serif" w:hAnsi="PT Astra Serif" w:eastAsia="PT Astra Serif" w:cs="PT Astra Serif"/>
                <w:sz w:val="23"/>
                <w:szCs w:val="23"/>
              </w:rPr>
              <w:t xml:space="preserve">(открыта процедура, применяемая в деле о банкротстве – конкурсное производство)</w:t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  <w:r>
              <w:rPr>
                <w:rFonts w:ascii="PT Astra Serif" w:hAnsi="PT Astra Serif" w:cs="PT Astra Serif"/>
                <w:sz w:val="23"/>
                <w:szCs w:val="23"/>
              </w:rPr>
            </w:r>
          </w:p>
        </w:tc>
      </w:tr>
    </w:tbl>
    <w:p>
      <w:pPr>
        <w:pStyle w:val="86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ind w:left="1620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Cs w:val="24"/>
          <w:lang w:val="ru-RU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rPr>
          <w:rFonts w:ascii="PT Astra Serif" w:hAnsi="PT Astra Serif" w:cs="PT Astra Serif"/>
          <w:szCs w:val="24"/>
        </w:rPr>
        <w:sectPr>
          <w:headerReference w:type="default" r:id="rId8"/>
          <w:footnotePr/>
          <w:endnotePr/>
          <w:type w:val="nextPage"/>
          <w:pgSz w:w="11909" w:h="16834" w:orient="portrait"/>
          <w:pgMar w:top="993" w:right="748" w:bottom="360" w:left="1440" w:header="720" w:footer="720" w:gutter="0"/>
          <w:cols w:num="1" w:sep="0" w:space="60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56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Cs w:val="24"/>
        </w:rPr>
        <w:t xml:space="preserve">ПЕРЕЧЕНЬ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8"/>
        <w:ind w:left="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организаций, в уставном капитале которых имеется доля муниципалитета,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8"/>
        <w:ind w:left="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по состоянию </w:t>
      </w:r>
      <w:r>
        <w:rPr>
          <w:rFonts w:ascii="PT Astra Serif" w:hAnsi="PT Astra Serif" w:eastAsia="PT Astra Serif" w:cs="PT Astra Serif"/>
        </w:rPr>
        <w:t xml:space="preserve">на </w:t>
      </w:r>
      <w:r>
        <w:rPr>
          <w:rFonts w:ascii="PT Astra Serif" w:hAnsi="PT Astra Serif" w:eastAsia="PT Astra Serif" w:cs="PT Astra Serif"/>
        </w:rPr>
        <w:t xml:space="preserve">01.</w:t>
      </w:r>
      <w:r>
        <w:rPr>
          <w:rFonts w:ascii="PT Astra Serif" w:hAnsi="PT Astra Serif" w:eastAsia="PT Astra Serif" w:cs="PT Astra Serif"/>
          <w:lang w:val="ru-RU"/>
        </w:rPr>
        <w:t xml:space="preserve">08</w:t>
      </w:r>
      <w:r>
        <w:rPr>
          <w:rFonts w:ascii="PT Astra Serif" w:hAnsi="PT Astra Serif" w:eastAsia="PT Astra Serif" w:cs="PT Astra Serif"/>
        </w:rPr>
        <w:t xml:space="preserve">.202</w:t>
      </w:r>
      <w:r>
        <w:rPr>
          <w:rFonts w:ascii="PT Astra Serif" w:hAnsi="PT Astra Serif" w:eastAsia="PT Astra Serif" w:cs="PT Astra Serif"/>
          <w:lang w:val="ru-RU"/>
        </w:rPr>
        <w:t xml:space="preserve">6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0"/>
        <w:ind w:left="-142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W w:w="9961" w:type="dxa"/>
        <w:tblInd w:w="-7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00"/>
        <w:gridCol w:w="9061"/>
      </w:tblGrid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п/п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061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АО «Комбинат школьного питания – Глобус»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(656066,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ул.50 лет СССР, 29)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АО «ЭКО-Комплекс»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(656063,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пр-кт Космонавтов,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АО СЗ «Барнаулкапстрой»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(656031,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ул.Папанинцев, 114)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АО «Барнаульская горэлектросеть»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656015,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ул.Деповская, 19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shd w:val="clear" w:color="auto" w:fill="ffffff"/>
              </w:rPr>
              <w:t xml:space="preserve">АО «Барнаулэнергосервис»</w:t>
            </w:r>
            <w:r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</w:r>
            <w:r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33"/>
                <w:szCs w:val="33"/>
                <w:shd w:val="clear" w:color="auto" w:fill="fffff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shd w:val="clear" w:color="auto" w:fill="ffffff"/>
              </w:rPr>
              <w:t xml:space="preserve">(656031, г.Барнаул, ул.Крупской, 171)</w:t>
            </w:r>
            <w:r>
              <w:rPr>
                <w:rFonts w:ascii="PT Astra Serif" w:hAnsi="PT Astra Serif" w:cs="PT Astra Serif"/>
                <w:sz w:val="33"/>
                <w:szCs w:val="33"/>
                <w:shd w:val="clear" w:color="auto" w:fill="ffffff"/>
              </w:rPr>
            </w:r>
            <w:r>
              <w:rPr>
                <w:rFonts w:ascii="PT Astra Serif" w:hAnsi="PT Astra Serif" w:cs="PT Astra Serif"/>
                <w:sz w:val="33"/>
                <w:szCs w:val="33"/>
                <w:shd w:val="clear" w:color="auto" w:fill="ffffff"/>
              </w:rPr>
            </w:r>
          </w:p>
        </w:tc>
      </w:tr>
      <w:tr>
        <w:tblPrEx/>
        <w:trPr>
          <w:trHeight w:val="5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ОАО «Алтайкрайгазсервис»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656037,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ул.Северо-Западная, 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7.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ОАО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«Управляющая компания «Доверие»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6560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г.Барнаул,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ул.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Малахова, 3)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1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ООО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«Муниципальная компания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ЖЭУ №30 г.Барнаула»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5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(656065, г.Барнаул, ул.Попова, 104)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sectPr>
      <w:footnotePr/>
      <w:endnotePr/>
      <w:type w:val="nextPage"/>
      <w:pgSz w:w="11909" w:h="16834" w:orient="portrait"/>
      <w:pgMar w:top="993" w:right="748" w:bottom="360" w:left="1440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6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next w:val="850"/>
    <w:link w:val="850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paragraph" w:styleId="851">
    <w:name w:val="Заголовок 8"/>
    <w:basedOn w:val="850"/>
    <w:next w:val="850"/>
    <w:link w:val="855"/>
    <w:qFormat/>
    <w:pPr>
      <w:keepNext/>
      <w:outlineLvl w:val="7"/>
    </w:pPr>
    <w:rPr>
      <w:sz w:val="24"/>
      <w:szCs w:val="24"/>
      <w:lang w:val="en-US"/>
    </w:rPr>
  </w:style>
  <w:style w:type="character" w:styleId="852">
    <w:name w:val="Основной шрифт абзаца"/>
    <w:next w:val="852"/>
    <w:link w:val="850"/>
    <w:uiPriority w:val="1"/>
    <w:unhideWhenUsed/>
  </w:style>
  <w:style w:type="table" w:styleId="853">
    <w:name w:val="Обычная таблица"/>
    <w:next w:val="853"/>
    <w:link w:val="850"/>
    <w:uiPriority w:val="99"/>
    <w:semiHidden/>
    <w:unhideWhenUsed/>
    <w:tblPr/>
  </w:style>
  <w:style w:type="numbering" w:styleId="854">
    <w:name w:val="Нет списка"/>
    <w:next w:val="854"/>
    <w:link w:val="850"/>
    <w:uiPriority w:val="99"/>
    <w:semiHidden/>
    <w:unhideWhenUsed/>
  </w:style>
  <w:style w:type="character" w:styleId="855">
    <w:name w:val="Заголовок 8 Знак"/>
    <w:next w:val="855"/>
    <w:link w:val="85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6">
    <w:name w:val="Название"/>
    <w:basedOn w:val="850"/>
    <w:next w:val="856"/>
    <w:link w:val="857"/>
    <w:qFormat/>
    <w:pPr>
      <w:jc w:val="center"/>
      <w:widowControl/>
    </w:pPr>
    <w:rPr>
      <w:sz w:val="28"/>
      <w:lang w:val="en-US"/>
    </w:rPr>
  </w:style>
  <w:style w:type="character" w:styleId="857">
    <w:name w:val="Название Знак"/>
    <w:next w:val="857"/>
    <w:link w:val="856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58">
    <w:name w:val="Основной текст с отступом"/>
    <w:basedOn w:val="850"/>
    <w:next w:val="858"/>
    <w:link w:val="859"/>
    <w:pPr>
      <w:ind w:left="1620"/>
      <w:jc w:val="center"/>
      <w:widowControl/>
    </w:pPr>
    <w:rPr>
      <w:sz w:val="28"/>
      <w:szCs w:val="24"/>
      <w:lang w:val="en-US"/>
    </w:rPr>
  </w:style>
  <w:style w:type="character" w:styleId="859">
    <w:name w:val="Основной текст с отступом Знак"/>
    <w:next w:val="859"/>
    <w:link w:val="858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0">
    <w:name w:val="Основной текст"/>
    <w:basedOn w:val="850"/>
    <w:next w:val="860"/>
    <w:link w:val="861"/>
    <w:pPr>
      <w:jc w:val="center"/>
    </w:pPr>
    <w:rPr>
      <w:sz w:val="28"/>
      <w:szCs w:val="24"/>
      <w:lang w:val="en-US"/>
    </w:rPr>
  </w:style>
  <w:style w:type="character" w:styleId="861">
    <w:name w:val="Основной текст Знак"/>
    <w:next w:val="861"/>
    <w:link w:val="86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2">
    <w:name w:val="Верхний колонтитул"/>
    <w:basedOn w:val="850"/>
    <w:next w:val="862"/>
    <w:link w:val="86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3">
    <w:name w:val="Верхний колонтитул Знак"/>
    <w:next w:val="863"/>
    <w:link w:val="86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4">
    <w:name w:val="Гиперссылка"/>
    <w:next w:val="864"/>
    <w:link w:val="850"/>
    <w:uiPriority w:val="99"/>
    <w:semiHidden/>
    <w:unhideWhenUsed/>
    <w:rPr>
      <w:color w:val="0000ff"/>
      <w:u w:val="single"/>
    </w:rPr>
  </w:style>
  <w:style w:type="character" w:styleId="865" w:default="1">
    <w:name w:val="Default Paragraph Font"/>
    <w:uiPriority w:val="1"/>
    <w:semiHidden/>
    <w:unhideWhenUsed/>
  </w:style>
  <w:style w:type="numbering" w:styleId="866" w:default="1">
    <w:name w:val="No List"/>
    <w:uiPriority w:val="99"/>
    <w:semiHidden/>
    <w:unhideWhenUsed/>
  </w:style>
  <w:style w:type="table" w:styleId="8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Путилина</dc:creator>
  <cp:lastModifiedBy>kums2@komitet.localhost</cp:lastModifiedBy>
  <cp:revision>61</cp:revision>
  <dcterms:created xsi:type="dcterms:W3CDTF">2022-06-28T01:35:00Z</dcterms:created>
  <dcterms:modified xsi:type="dcterms:W3CDTF">2026-07-28T06:38:42Z</dcterms:modified>
  <cp:version>917504</cp:version>
</cp:coreProperties>
</file>